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284427" w14:textId="62411EE3" w:rsidR="00DA424A" w:rsidRDefault="00F954CF" w:rsidP="001A23D9">
      <w:pPr>
        <w:pStyle w:val="Header"/>
        <w:jc w:val="center"/>
        <w:rPr>
          <w:rFonts w:eastAsiaTheme="minorHAnsi"/>
          <w:b/>
          <w:iCs/>
          <w:sz w:val="22"/>
          <w:szCs w:val="22"/>
        </w:rPr>
      </w:pPr>
      <w:r w:rsidRPr="00BF55F9">
        <w:rPr>
          <w:b/>
          <w:bCs/>
          <w:u w:val="single"/>
        </w:rPr>
        <w:t>B</w:t>
      </w:r>
      <w:r w:rsidR="00D77003">
        <w:rPr>
          <w:b/>
          <w:bCs/>
          <w:u w:val="single"/>
        </w:rPr>
        <w:t xml:space="preserve">UILDING CAPACITY OF </w:t>
      </w:r>
      <w:r w:rsidRPr="00BF55F9">
        <w:rPr>
          <w:b/>
          <w:bCs/>
          <w:u w:val="single"/>
        </w:rPr>
        <w:t xml:space="preserve">SEMA </w:t>
      </w:r>
      <w:r w:rsidR="00D77003">
        <w:rPr>
          <w:b/>
          <w:bCs/>
          <w:u w:val="single"/>
        </w:rPr>
        <w:t>IN PREPARATION FOR A NATIONWIDE NON-TECHNICAL SURVEY</w:t>
      </w:r>
    </w:p>
    <w:p w14:paraId="0EB9B8C8" w14:textId="77777777" w:rsidR="00F954CF" w:rsidRDefault="00F954CF" w:rsidP="001A23D9">
      <w:pPr>
        <w:pStyle w:val="Header"/>
        <w:jc w:val="center"/>
        <w:rPr>
          <w:rFonts w:eastAsiaTheme="minorHAnsi"/>
          <w:b/>
          <w:iCs/>
          <w:sz w:val="22"/>
          <w:szCs w:val="22"/>
        </w:rPr>
      </w:pPr>
    </w:p>
    <w:p w14:paraId="6AFAF68A" w14:textId="5E1DFD51" w:rsidR="00DA424A" w:rsidRDefault="00DA424A" w:rsidP="001A23D9">
      <w:pPr>
        <w:pStyle w:val="Header"/>
        <w:jc w:val="center"/>
        <w:rPr>
          <w:rFonts w:eastAsiaTheme="minorHAnsi"/>
          <w:b/>
          <w:iCs/>
          <w:sz w:val="22"/>
          <w:szCs w:val="22"/>
        </w:rPr>
      </w:pPr>
      <w:r>
        <w:rPr>
          <w:rFonts w:eastAsiaTheme="minorHAnsi"/>
          <w:b/>
          <w:iCs/>
          <w:sz w:val="22"/>
          <w:szCs w:val="22"/>
        </w:rPr>
        <w:t>INVITATION TO BID</w:t>
      </w:r>
      <w:r w:rsidR="00F954CF">
        <w:rPr>
          <w:rFonts w:eastAsiaTheme="minorHAnsi"/>
          <w:b/>
          <w:iCs/>
          <w:sz w:val="22"/>
          <w:szCs w:val="22"/>
        </w:rPr>
        <w:t xml:space="preserve"> – TERM OF REFERENCE</w:t>
      </w:r>
    </w:p>
    <w:p w14:paraId="1F304D76" w14:textId="77777777" w:rsidR="001009A0" w:rsidRDefault="001009A0" w:rsidP="001A23D9">
      <w:pPr>
        <w:pStyle w:val="Header"/>
        <w:jc w:val="center"/>
        <w:rPr>
          <w:rFonts w:eastAsiaTheme="minorHAnsi"/>
          <w:b/>
          <w:iCs/>
          <w:sz w:val="22"/>
          <w:szCs w:val="22"/>
        </w:rPr>
      </w:pPr>
    </w:p>
    <w:p w14:paraId="1F51DB48" w14:textId="77777777" w:rsidR="001A23D9" w:rsidRPr="004400F8" w:rsidRDefault="001A23D9" w:rsidP="00D9567C">
      <w:pPr>
        <w:pStyle w:val="Header"/>
        <w:rPr>
          <w:rFonts w:eastAsiaTheme="minorHAnsi"/>
          <w:iCs/>
          <w:sz w:val="22"/>
          <w:szCs w:val="22"/>
        </w:rPr>
      </w:pPr>
    </w:p>
    <w:p w14:paraId="45683736" w14:textId="1BB1531E" w:rsidR="001A23D9" w:rsidRDefault="001009A0" w:rsidP="001A23D9">
      <w:pPr>
        <w:jc w:val="both"/>
        <w:rPr>
          <w:rFonts w:ascii="Times New Roman" w:hAnsi="Times New Roman" w:cs="Times New Roman"/>
          <w:i/>
          <w:iCs/>
        </w:rPr>
      </w:pPr>
      <w:r>
        <w:rPr>
          <w:rFonts w:ascii="Times New Roman" w:hAnsi="Times New Roman" w:cs="Times New Roman"/>
          <w:iCs/>
        </w:rPr>
        <w:t>Decades of</w:t>
      </w:r>
      <w:r w:rsidR="001A23D9" w:rsidRPr="004400F8">
        <w:rPr>
          <w:rFonts w:ascii="Times New Roman" w:hAnsi="Times New Roman" w:cs="Times New Roman"/>
          <w:iCs/>
        </w:rPr>
        <w:t xml:space="preserve"> conflict </w:t>
      </w:r>
      <w:r w:rsidR="001951B2">
        <w:rPr>
          <w:rFonts w:ascii="Times New Roman" w:hAnsi="Times New Roman" w:cs="Times New Roman"/>
          <w:iCs/>
        </w:rPr>
        <w:t>resulted in</w:t>
      </w:r>
      <w:r w:rsidR="001A23D9" w:rsidRPr="004400F8">
        <w:rPr>
          <w:rFonts w:ascii="Times New Roman" w:hAnsi="Times New Roman" w:cs="Times New Roman"/>
          <w:iCs/>
        </w:rPr>
        <w:t xml:space="preserve"> landmines and ERW contamination </w:t>
      </w:r>
      <w:r>
        <w:rPr>
          <w:rFonts w:ascii="Times New Roman" w:hAnsi="Times New Roman" w:cs="Times New Roman"/>
          <w:iCs/>
        </w:rPr>
        <w:t xml:space="preserve">across Somalia </w:t>
      </w:r>
      <w:r w:rsidR="001A23D9" w:rsidRPr="004400F8">
        <w:rPr>
          <w:rFonts w:ascii="Times New Roman" w:hAnsi="Times New Roman" w:cs="Times New Roman"/>
          <w:iCs/>
        </w:rPr>
        <w:t>severely affect</w:t>
      </w:r>
      <w:r w:rsidR="009C2251">
        <w:rPr>
          <w:rFonts w:ascii="Times New Roman" w:hAnsi="Times New Roman" w:cs="Times New Roman"/>
          <w:iCs/>
        </w:rPr>
        <w:t>ing</w:t>
      </w:r>
      <w:r w:rsidR="001951B2">
        <w:rPr>
          <w:rFonts w:ascii="Times New Roman" w:hAnsi="Times New Roman" w:cs="Times New Roman"/>
          <w:iCs/>
        </w:rPr>
        <w:t xml:space="preserve"> </w:t>
      </w:r>
      <w:r w:rsidR="001A23D9" w:rsidRPr="004400F8">
        <w:rPr>
          <w:rFonts w:ascii="Times New Roman" w:hAnsi="Times New Roman" w:cs="Times New Roman"/>
          <w:iCs/>
        </w:rPr>
        <w:t xml:space="preserve">the lives </w:t>
      </w:r>
      <w:r w:rsidR="001951B2">
        <w:rPr>
          <w:rFonts w:ascii="Times New Roman" w:hAnsi="Times New Roman" w:cs="Times New Roman"/>
          <w:iCs/>
        </w:rPr>
        <w:t xml:space="preserve">and livelihoods </w:t>
      </w:r>
      <w:r w:rsidR="001A23D9" w:rsidRPr="004400F8">
        <w:rPr>
          <w:rFonts w:ascii="Times New Roman" w:hAnsi="Times New Roman" w:cs="Times New Roman"/>
          <w:iCs/>
        </w:rPr>
        <w:t>of</w:t>
      </w:r>
      <w:r w:rsidR="008242A4">
        <w:rPr>
          <w:rFonts w:ascii="Times New Roman" w:hAnsi="Times New Roman" w:cs="Times New Roman"/>
          <w:iCs/>
        </w:rPr>
        <w:t xml:space="preserve"> </w:t>
      </w:r>
      <w:r w:rsidR="001A23D9" w:rsidRPr="004400F8">
        <w:rPr>
          <w:rFonts w:ascii="Times New Roman" w:hAnsi="Times New Roman" w:cs="Times New Roman"/>
          <w:iCs/>
        </w:rPr>
        <w:t>local population</w:t>
      </w:r>
      <w:r w:rsidR="001951B2">
        <w:rPr>
          <w:rFonts w:ascii="Times New Roman" w:hAnsi="Times New Roman" w:cs="Times New Roman"/>
          <w:iCs/>
        </w:rPr>
        <w:t>s</w:t>
      </w:r>
      <w:r w:rsidR="001A23D9" w:rsidRPr="004400F8">
        <w:rPr>
          <w:rFonts w:ascii="Times New Roman" w:hAnsi="Times New Roman" w:cs="Times New Roman"/>
          <w:iCs/>
        </w:rPr>
        <w:t xml:space="preserve"> including killing and maiming, </w:t>
      </w:r>
      <w:r w:rsidR="008242A4">
        <w:rPr>
          <w:rFonts w:ascii="Times New Roman" w:hAnsi="Times New Roman" w:cs="Times New Roman"/>
          <w:iCs/>
        </w:rPr>
        <w:t xml:space="preserve">preventing use of </w:t>
      </w:r>
      <w:r w:rsidR="009C2251">
        <w:rPr>
          <w:rFonts w:ascii="Times New Roman" w:hAnsi="Times New Roman" w:cs="Times New Roman"/>
          <w:iCs/>
        </w:rPr>
        <w:t>agricultural</w:t>
      </w:r>
      <w:r w:rsidR="008242A4">
        <w:rPr>
          <w:rFonts w:ascii="Times New Roman" w:hAnsi="Times New Roman" w:cs="Times New Roman"/>
          <w:iCs/>
        </w:rPr>
        <w:t xml:space="preserve"> lands and</w:t>
      </w:r>
      <w:r w:rsidR="009C2251">
        <w:rPr>
          <w:rFonts w:ascii="Times New Roman" w:hAnsi="Times New Roman" w:cs="Times New Roman"/>
          <w:iCs/>
        </w:rPr>
        <w:t xml:space="preserve"> stifling d</w:t>
      </w:r>
      <w:r w:rsidR="001A23D9" w:rsidRPr="004400F8">
        <w:rPr>
          <w:rFonts w:ascii="Times New Roman" w:hAnsi="Times New Roman" w:cs="Times New Roman"/>
          <w:iCs/>
        </w:rPr>
        <w:t xml:space="preserve">evelopment. </w:t>
      </w:r>
      <w:r>
        <w:rPr>
          <w:rFonts w:ascii="Times New Roman" w:hAnsi="Times New Roman" w:cs="Times New Roman"/>
          <w:iCs/>
        </w:rPr>
        <w:t xml:space="preserve">The </w:t>
      </w:r>
      <w:r w:rsidR="001A23D9" w:rsidRPr="004400F8">
        <w:rPr>
          <w:rFonts w:ascii="Times New Roman" w:hAnsi="Times New Roman" w:cs="Times New Roman"/>
          <w:iCs/>
        </w:rPr>
        <w:t xml:space="preserve">Somali </w:t>
      </w:r>
      <w:r w:rsidR="001A23D9">
        <w:rPr>
          <w:rFonts w:ascii="Times New Roman" w:hAnsi="Times New Roman" w:cs="Times New Roman"/>
          <w:iCs/>
        </w:rPr>
        <w:t xml:space="preserve">government </w:t>
      </w:r>
      <w:r w:rsidR="001A23D9" w:rsidRPr="004400F8">
        <w:rPr>
          <w:rFonts w:ascii="Times New Roman" w:hAnsi="Times New Roman" w:cs="Times New Roman"/>
          <w:iCs/>
        </w:rPr>
        <w:t xml:space="preserve">signed the Anti-personal Mine Ban Convention </w:t>
      </w:r>
      <w:r w:rsidR="002A0E46">
        <w:rPr>
          <w:rFonts w:ascii="Times New Roman" w:hAnsi="Times New Roman" w:cs="Times New Roman"/>
          <w:iCs/>
        </w:rPr>
        <w:t>t</w:t>
      </w:r>
      <w:r w:rsidR="008242A4">
        <w:rPr>
          <w:rFonts w:ascii="Times New Roman" w:hAnsi="Times New Roman" w:cs="Times New Roman"/>
          <w:iCs/>
        </w:rPr>
        <w:t>hat entered into</w:t>
      </w:r>
      <w:r w:rsidR="001A23D9" w:rsidRPr="004400F8">
        <w:rPr>
          <w:rFonts w:ascii="Times New Roman" w:hAnsi="Times New Roman" w:cs="Times New Roman"/>
          <w:iCs/>
        </w:rPr>
        <w:t xml:space="preserve"> forc</w:t>
      </w:r>
      <w:r w:rsidR="008242A4">
        <w:rPr>
          <w:rFonts w:ascii="Times New Roman" w:hAnsi="Times New Roman" w:cs="Times New Roman"/>
          <w:iCs/>
        </w:rPr>
        <w:t xml:space="preserve">e on </w:t>
      </w:r>
      <w:r w:rsidR="001A23D9" w:rsidRPr="004400F8">
        <w:rPr>
          <w:rFonts w:ascii="Times New Roman" w:hAnsi="Times New Roman" w:cs="Times New Roman"/>
          <w:iCs/>
        </w:rPr>
        <w:t xml:space="preserve">1 </w:t>
      </w:r>
      <w:r w:rsidR="001A23D9" w:rsidRPr="002A0E46">
        <w:rPr>
          <w:rFonts w:ascii="Times New Roman" w:hAnsi="Times New Roman" w:cs="Times New Roman"/>
          <w:iCs/>
        </w:rPr>
        <w:t xml:space="preserve">October 2012.  </w:t>
      </w:r>
      <w:r w:rsidR="008242A4" w:rsidRPr="002A0E46">
        <w:rPr>
          <w:rFonts w:ascii="Times New Roman" w:hAnsi="Times New Roman" w:cs="Times New Roman"/>
          <w:iCs/>
        </w:rPr>
        <w:t xml:space="preserve">While the country has been committed to meeting its </w:t>
      </w:r>
      <w:r w:rsidR="001A23D9" w:rsidRPr="002A0E46">
        <w:rPr>
          <w:rFonts w:ascii="Times New Roman" w:hAnsi="Times New Roman" w:cs="Times New Roman"/>
          <w:iCs/>
        </w:rPr>
        <w:t>obligation</w:t>
      </w:r>
      <w:r w:rsidR="008242A4" w:rsidRPr="002A0E46">
        <w:rPr>
          <w:rFonts w:ascii="Times New Roman" w:hAnsi="Times New Roman" w:cs="Times New Roman"/>
          <w:iCs/>
        </w:rPr>
        <w:t>s,</w:t>
      </w:r>
      <w:r w:rsidR="001A23D9" w:rsidRPr="002A0E46">
        <w:rPr>
          <w:rFonts w:ascii="Times New Roman" w:hAnsi="Times New Roman" w:cs="Times New Roman"/>
          <w:iCs/>
        </w:rPr>
        <w:t xml:space="preserve"> </w:t>
      </w:r>
      <w:r w:rsidR="008242A4" w:rsidRPr="002A0E46">
        <w:rPr>
          <w:rFonts w:ascii="Times New Roman" w:hAnsi="Times New Roman" w:cs="Times New Roman"/>
          <w:iCs/>
        </w:rPr>
        <w:t>lack of funding</w:t>
      </w:r>
      <w:r w:rsidR="002A0E46" w:rsidRPr="002A0E46">
        <w:rPr>
          <w:rFonts w:ascii="Times New Roman" w:hAnsi="Times New Roman" w:cs="Times New Roman"/>
          <w:iCs/>
        </w:rPr>
        <w:t xml:space="preserve">, insecurity and thus lack of </w:t>
      </w:r>
      <w:r w:rsidR="008242A4" w:rsidRPr="002A0E46">
        <w:rPr>
          <w:rFonts w:ascii="Times New Roman" w:hAnsi="Times New Roman" w:cs="Times New Roman"/>
          <w:iCs/>
        </w:rPr>
        <w:t xml:space="preserve">access to key areas have resulted in the country not being able to meet its </w:t>
      </w:r>
      <w:r w:rsidR="002A0E46" w:rsidRPr="002A0E46">
        <w:rPr>
          <w:rFonts w:ascii="Times New Roman" w:hAnsi="Times New Roman" w:cs="Times New Roman"/>
          <w:iCs/>
        </w:rPr>
        <w:t xml:space="preserve">targets to comply </w:t>
      </w:r>
      <w:r w:rsidR="002A0E46" w:rsidRPr="002A0E46">
        <w:rPr>
          <w:rFonts w:ascii="Times New Roman" w:hAnsi="Times New Roman" w:cs="Times New Roman"/>
        </w:rPr>
        <w:t xml:space="preserve">with its Anti-Personnel Mine Ban Convention (APMBC) obligations as set out in Article Five of the APMBC (as interpreted by the 2019 Oslo Action Plan (OAP). </w:t>
      </w:r>
      <w:r w:rsidR="002A0E46" w:rsidRPr="002A0E46">
        <w:rPr>
          <w:rFonts w:ascii="Times New Roman" w:hAnsi="Times New Roman" w:cs="Times New Roman"/>
          <w:iCs/>
        </w:rPr>
        <w:t xml:space="preserve">Somalia has therefore </w:t>
      </w:r>
      <w:r w:rsidR="008242A4" w:rsidRPr="002A0E46">
        <w:rPr>
          <w:rFonts w:ascii="Times New Roman" w:hAnsi="Times New Roman" w:cs="Times New Roman"/>
          <w:iCs/>
        </w:rPr>
        <w:t>requested an extension</w:t>
      </w:r>
      <w:r w:rsidR="001A23D9" w:rsidRPr="002A0E46">
        <w:rPr>
          <w:rFonts w:ascii="Times New Roman" w:hAnsi="Times New Roman" w:cs="Times New Roman"/>
          <w:iCs/>
        </w:rPr>
        <w:t xml:space="preserve"> to </w:t>
      </w:r>
      <w:r w:rsidR="002A0E46" w:rsidRPr="002A0E46">
        <w:rPr>
          <w:rFonts w:ascii="Times New Roman" w:hAnsi="Times New Roman" w:cs="Times New Roman"/>
          <w:iCs/>
        </w:rPr>
        <w:t xml:space="preserve">implement Article 5 of the convention to </w:t>
      </w:r>
      <w:r w:rsidR="008242A4" w:rsidRPr="002A0E46">
        <w:rPr>
          <w:rFonts w:ascii="Times New Roman" w:hAnsi="Times New Roman" w:cs="Times New Roman"/>
          <w:iCs/>
        </w:rPr>
        <w:t>´</w:t>
      </w:r>
      <w:r w:rsidR="001A23D9" w:rsidRPr="002A0E46">
        <w:rPr>
          <w:rFonts w:ascii="Times New Roman" w:hAnsi="Times New Roman" w:cs="Times New Roman"/>
          <w:i/>
          <w:iCs/>
        </w:rPr>
        <w:t xml:space="preserve">continue lifesaving humanitarian mine action activities in accessible areas </w:t>
      </w:r>
      <w:r w:rsidR="001A23D9" w:rsidRPr="002A0E46">
        <w:rPr>
          <w:rFonts w:ascii="Times New Roman" w:hAnsi="Times New Roman" w:cs="Times New Roman"/>
        </w:rPr>
        <w:t xml:space="preserve">and </w:t>
      </w:r>
      <w:r w:rsidR="001A23D9" w:rsidRPr="002A0E46">
        <w:rPr>
          <w:rFonts w:ascii="Times New Roman" w:hAnsi="Times New Roman" w:cs="Times New Roman"/>
          <w:i/>
          <w:iCs/>
        </w:rPr>
        <w:t>to build the capacity of state mine action institutions to take ownership of addressing the landmine contamination in the country</w:t>
      </w:r>
      <w:r w:rsidR="008242A4" w:rsidRPr="002A0E46">
        <w:rPr>
          <w:rFonts w:ascii="Times New Roman" w:hAnsi="Times New Roman" w:cs="Times New Roman"/>
          <w:i/>
          <w:iCs/>
        </w:rPr>
        <w:t>´.</w:t>
      </w:r>
    </w:p>
    <w:p w14:paraId="7A1FACC0" w14:textId="027B35E9" w:rsidR="00CE3C22" w:rsidRDefault="0039147D" w:rsidP="001A23D9">
      <w:pPr>
        <w:jc w:val="both"/>
        <w:rPr>
          <w:rFonts w:ascii="Times New Roman" w:hAnsi="Times New Roman" w:cs="Times New Roman"/>
        </w:rPr>
      </w:pPr>
      <w:r>
        <w:rPr>
          <w:rFonts w:ascii="Times New Roman" w:hAnsi="Times New Roman" w:cs="Times New Roman"/>
        </w:rPr>
        <w:t>The A</w:t>
      </w:r>
      <w:bookmarkStart w:id="0" w:name="_GoBack"/>
      <w:bookmarkEnd w:id="0"/>
      <w:r w:rsidR="001A49C3">
        <w:rPr>
          <w:rFonts w:ascii="Times New Roman" w:hAnsi="Times New Roman" w:cs="Times New Roman"/>
        </w:rPr>
        <w:t>uthority of the Somali Explosives Management Authority (SEMA) devolves from Presidential Decree 107 (6 August 2013) and is therefore recognized mine action centre for Somalia. is the recognized national focal point for the coordination of the implementation of the convention. It currently sits under and reports to the Ministry of Internal Security (MOIS) at the Federal level with several suboffices attached to local security institutions in the Federal Member States. SEMA requires capacity building to support the agency in assuming national ownership in fulfilling its obligations under the extension. For this reason, the MOIS is launching an invitation to tender to non-profit organizations with experience in explosives management and mine action, registered in Somalia, for the following contract:</w:t>
      </w:r>
    </w:p>
    <w:p w14:paraId="6849269C" w14:textId="3E3929C4" w:rsidR="00CE3C22" w:rsidRPr="0039147D" w:rsidRDefault="00F42465" w:rsidP="0039147D">
      <w:pPr>
        <w:jc w:val="both"/>
        <w:rPr>
          <w:rFonts w:ascii="Times New Roman" w:hAnsi="Times New Roman" w:cs="Times New Roman"/>
          <w:b/>
          <w:bCs/>
          <w:u w:val="single"/>
        </w:rPr>
      </w:pPr>
      <w:r w:rsidRPr="0039147D">
        <w:rPr>
          <w:rFonts w:ascii="Times New Roman" w:hAnsi="Times New Roman" w:cs="Times New Roman"/>
          <w:b/>
          <w:bCs/>
          <w:u w:val="single"/>
        </w:rPr>
        <w:t xml:space="preserve">Building capacity of SEMA </w:t>
      </w:r>
      <w:r w:rsidR="002A0E46" w:rsidRPr="0039147D">
        <w:rPr>
          <w:rFonts w:ascii="Times New Roman" w:hAnsi="Times New Roman" w:cs="Times New Roman"/>
          <w:b/>
          <w:bCs/>
          <w:u w:val="single"/>
        </w:rPr>
        <w:t xml:space="preserve">in </w:t>
      </w:r>
      <w:r w:rsidR="00DA424A" w:rsidRPr="0039147D">
        <w:rPr>
          <w:rFonts w:ascii="Times New Roman" w:hAnsi="Times New Roman" w:cs="Times New Roman"/>
          <w:b/>
          <w:bCs/>
          <w:u w:val="single"/>
        </w:rPr>
        <w:t>P</w:t>
      </w:r>
      <w:r w:rsidR="002A0E46" w:rsidRPr="0039147D">
        <w:rPr>
          <w:rFonts w:ascii="Times New Roman" w:hAnsi="Times New Roman" w:cs="Times New Roman"/>
          <w:b/>
          <w:bCs/>
          <w:u w:val="single"/>
        </w:rPr>
        <w:t xml:space="preserve">reparations for a </w:t>
      </w:r>
      <w:r w:rsidR="00DA424A" w:rsidRPr="0039147D">
        <w:rPr>
          <w:rFonts w:ascii="Times New Roman" w:hAnsi="Times New Roman" w:cs="Times New Roman"/>
          <w:b/>
          <w:bCs/>
          <w:u w:val="single"/>
        </w:rPr>
        <w:t>N</w:t>
      </w:r>
      <w:r w:rsidR="002A0E46" w:rsidRPr="0039147D">
        <w:rPr>
          <w:rFonts w:ascii="Times New Roman" w:hAnsi="Times New Roman" w:cs="Times New Roman"/>
          <w:b/>
          <w:bCs/>
          <w:u w:val="single"/>
        </w:rPr>
        <w:t xml:space="preserve">ationwide </w:t>
      </w:r>
      <w:r w:rsidR="00BF55F9" w:rsidRPr="0039147D">
        <w:rPr>
          <w:rFonts w:ascii="Times New Roman" w:hAnsi="Times New Roman" w:cs="Times New Roman"/>
          <w:b/>
          <w:bCs/>
          <w:u w:val="single"/>
        </w:rPr>
        <w:t>N</w:t>
      </w:r>
      <w:r w:rsidRPr="0039147D">
        <w:rPr>
          <w:rFonts w:ascii="Times New Roman" w:hAnsi="Times New Roman" w:cs="Times New Roman"/>
          <w:b/>
          <w:bCs/>
          <w:u w:val="single"/>
        </w:rPr>
        <w:t>on-</w:t>
      </w:r>
      <w:r w:rsidR="00BF55F9" w:rsidRPr="0039147D">
        <w:rPr>
          <w:rFonts w:ascii="Times New Roman" w:hAnsi="Times New Roman" w:cs="Times New Roman"/>
          <w:b/>
          <w:bCs/>
          <w:u w:val="single"/>
        </w:rPr>
        <w:t>T</w:t>
      </w:r>
      <w:r w:rsidRPr="0039147D">
        <w:rPr>
          <w:rFonts w:ascii="Times New Roman" w:hAnsi="Times New Roman" w:cs="Times New Roman"/>
          <w:b/>
          <w:bCs/>
          <w:u w:val="single"/>
        </w:rPr>
        <w:t xml:space="preserve">echnical </w:t>
      </w:r>
      <w:r w:rsidR="00BF55F9" w:rsidRPr="0039147D">
        <w:rPr>
          <w:rFonts w:ascii="Times New Roman" w:hAnsi="Times New Roman" w:cs="Times New Roman"/>
          <w:b/>
          <w:bCs/>
          <w:u w:val="single"/>
        </w:rPr>
        <w:t>S</w:t>
      </w:r>
      <w:r w:rsidRPr="0039147D">
        <w:rPr>
          <w:rFonts w:ascii="Times New Roman" w:hAnsi="Times New Roman" w:cs="Times New Roman"/>
          <w:b/>
          <w:bCs/>
          <w:u w:val="single"/>
        </w:rPr>
        <w:t>urvey</w:t>
      </w:r>
    </w:p>
    <w:p w14:paraId="0D2BFF66" w14:textId="6117AB38" w:rsidR="00F42465" w:rsidRDefault="002A0E46" w:rsidP="0039147D">
      <w:pPr>
        <w:pStyle w:val="ListParagraph"/>
        <w:numPr>
          <w:ilvl w:val="0"/>
          <w:numId w:val="2"/>
        </w:numPr>
        <w:jc w:val="both"/>
        <w:rPr>
          <w:rFonts w:ascii="Times New Roman" w:hAnsi="Times New Roman" w:cs="Times New Roman"/>
        </w:rPr>
      </w:pPr>
      <w:r>
        <w:rPr>
          <w:rFonts w:ascii="Times New Roman" w:hAnsi="Times New Roman" w:cs="Times New Roman"/>
        </w:rPr>
        <w:t xml:space="preserve">Value of Contract </w:t>
      </w:r>
      <w:r w:rsidR="007506F7">
        <w:rPr>
          <w:rFonts w:ascii="Times New Roman" w:hAnsi="Times New Roman" w:cs="Times New Roman"/>
        </w:rPr>
        <w:t xml:space="preserve">US$ </w:t>
      </w:r>
      <w:r w:rsidR="008D1610">
        <w:rPr>
          <w:rFonts w:ascii="Times New Roman" w:hAnsi="Times New Roman" w:cs="Times New Roman"/>
        </w:rPr>
        <w:t>7</w:t>
      </w:r>
      <w:r>
        <w:rPr>
          <w:rFonts w:ascii="Times New Roman" w:hAnsi="Times New Roman" w:cs="Times New Roman"/>
        </w:rPr>
        <w:t>0,000 (5 months implementation period January – May 2022).</w:t>
      </w:r>
    </w:p>
    <w:p w14:paraId="32040ADD" w14:textId="77777777" w:rsidR="0039147D" w:rsidRDefault="002A0E46" w:rsidP="0039147D">
      <w:pPr>
        <w:pStyle w:val="ListParagraph"/>
        <w:numPr>
          <w:ilvl w:val="0"/>
          <w:numId w:val="2"/>
        </w:numPr>
        <w:jc w:val="both"/>
        <w:rPr>
          <w:rFonts w:ascii="Times New Roman" w:hAnsi="Times New Roman" w:cs="Times New Roman"/>
        </w:rPr>
      </w:pPr>
      <w:r w:rsidRPr="008F4944">
        <w:rPr>
          <w:rFonts w:ascii="Times New Roman" w:hAnsi="Times New Roman" w:cs="Times New Roman"/>
        </w:rPr>
        <w:t xml:space="preserve">The bidding entity is expected to put forward a proposal that illustrates </w:t>
      </w:r>
      <w:r w:rsidR="00DA424A" w:rsidRPr="008F4944">
        <w:rPr>
          <w:rFonts w:ascii="Times New Roman" w:hAnsi="Times New Roman" w:cs="Times New Roman"/>
        </w:rPr>
        <w:t xml:space="preserve">clearly </w:t>
      </w:r>
      <w:r w:rsidRPr="008F4944">
        <w:rPr>
          <w:rFonts w:ascii="Times New Roman" w:hAnsi="Times New Roman" w:cs="Times New Roman"/>
        </w:rPr>
        <w:t xml:space="preserve">how it </w:t>
      </w:r>
      <w:r w:rsidR="00985A80" w:rsidRPr="008F4944">
        <w:rPr>
          <w:rFonts w:ascii="Times New Roman" w:hAnsi="Times New Roman" w:cs="Times New Roman"/>
        </w:rPr>
        <w:t xml:space="preserve">suggests </w:t>
      </w:r>
      <w:r w:rsidRPr="008F4944">
        <w:rPr>
          <w:rFonts w:ascii="Times New Roman" w:hAnsi="Times New Roman" w:cs="Times New Roman"/>
        </w:rPr>
        <w:t>prepar</w:t>
      </w:r>
      <w:r w:rsidR="00985A80" w:rsidRPr="008F4944">
        <w:rPr>
          <w:rFonts w:ascii="Times New Roman" w:hAnsi="Times New Roman" w:cs="Times New Roman"/>
        </w:rPr>
        <w:t>ing</w:t>
      </w:r>
      <w:r w:rsidRPr="008F4944">
        <w:rPr>
          <w:rFonts w:ascii="Times New Roman" w:hAnsi="Times New Roman" w:cs="Times New Roman"/>
        </w:rPr>
        <w:t xml:space="preserve"> and build</w:t>
      </w:r>
      <w:r w:rsidR="00985A80" w:rsidRPr="008F4944">
        <w:rPr>
          <w:rFonts w:ascii="Times New Roman" w:hAnsi="Times New Roman" w:cs="Times New Roman"/>
        </w:rPr>
        <w:t>ing</w:t>
      </w:r>
      <w:r w:rsidRPr="008F4944">
        <w:rPr>
          <w:rFonts w:ascii="Times New Roman" w:hAnsi="Times New Roman" w:cs="Times New Roman"/>
        </w:rPr>
        <w:t xml:space="preserve"> the institutional capacity of SEMA to be able to effectively coordinate and manage a nationwide N</w:t>
      </w:r>
      <w:r w:rsidR="00DD239D" w:rsidRPr="008F4944">
        <w:rPr>
          <w:rFonts w:ascii="Times New Roman" w:hAnsi="Times New Roman" w:cs="Times New Roman"/>
        </w:rPr>
        <w:t>on-Technical Survey (NTS</w:t>
      </w:r>
      <w:r w:rsidR="00DA424A" w:rsidRPr="008F4944">
        <w:rPr>
          <w:rFonts w:ascii="Times New Roman" w:hAnsi="Times New Roman" w:cs="Times New Roman"/>
        </w:rPr>
        <w:t>)</w:t>
      </w:r>
      <w:r w:rsidR="00985A80" w:rsidRPr="008F4944">
        <w:rPr>
          <w:rFonts w:ascii="Times New Roman" w:hAnsi="Times New Roman" w:cs="Times New Roman"/>
        </w:rPr>
        <w:t xml:space="preserve">. </w:t>
      </w:r>
    </w:p>
    <w:p w14:paraId="0B478701" w14:textId="60217EC6" w:rsidR="00985A80" w:rsidRPr="008F4944" w:rsidRDefault="00985A80" w:rsidP="0039147D">
      <w:pPr>
        <w:pStyle w:val="ListParagraph"/>
        <w:numPr>
          <w:ilvl w:val="0"/>
          <w:numId w:val="2"/>
        </w:numPr>
        <w:jc w:val="both"/>
        <w:rPr>
          <w:rFonts w:ascii="Times New Roman" w:hAnsi="Times New Roman" w:cs="Times New Roman"/>
        </w:rPr>
      </w:pPr>
      <w:r w:rsidRPr="008F4944">
        <w:rPr>
          <w:rFonts w:ascii="Times New Roman" w:hAnsi="Times New Roman" w:cs="Times New Roman"/>
        </w:rPr>
        <w:t xml:space="preserve">The bidding entity is </w:t>
      </w:r>
      <w:r w:rsidR="008F4944">
        <w:rPr>
          <w:rFonts w:ascii="Times New Roman" w:hAnsi="Times New Roman" w:cs="Times New Roman"/>
        </w:rPr>
        <w:t xml:space="preserve">thus </w:t>
      </w:r>
      <w:r w:rsidRPr="008F4944">
        <w:rPr>
          <w:rFonts w:ascii="Times New Roman" w:hAnsi="Times New Roman" w:cs="Times New Roman"/>
        </w:rPr>
        <w:t xml:space="preserve">expected to </w:t>
      </w:r>
      <w:r w:rsidR="008437B8" w:rsidRPr="008F4944">
        <w:rPr>
          <w:rFonts w:ascii="Times New Roman" w:hAnsi="Times New Roman" w:cs="Times New Roman"/>
        </w:rPr>
        <w:t xml:space="preserve">propose </w:t>
      </w:r>
      <w:r w:rsidRPr="008F4944">
        <w:rPr>
          <w:rFonts w:ascii="Times New Roman" w:hAnsi="Times New Roman" w:cs="Times New Roman"/>
        </w:rPr>
        <w:t xml:space="preserve">an innovative training solution/model </w:t>
      </w:r>
      <w:r w:rsidR="008F4944" w:rsidRPr="008F4944">
        <w:rPr>
          <w:rFonts w:ascii="Times New Roman" w:hAnsi="Times New Roman" w:cs="Times New Roman"/>
        </w:rPr>
        <w:t xml:space="preserve">with the appropriate resources </w:t>
      </w:r>
      <w:r w:rsidRPr="008F4944">
        <w:rPr>
          <w:rFonts w:ascii="Times New Roman" w:hAnsi="Times New Roman" w:cs="Times New Roman"/>
        </w:rPr>
        <w:t>and a methodology to conduct a pilot that prepares SEMA to conduct a nationwide NTS.</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8430"/>
      </w:tblGrid>
      <w:tr w:rsidR="00D9567C" w:rsidRPr="00D9567C" w14:paraId="0AA7FE8B" w14:textId="77777777" w:rsidTr="00D9567C">
        <w:trPr>
          <w:trHeight w:val="440"/>
        </w:trPr>
        <w:tc>
          <w:tcPr>
            <w:tcW w:w="745" w:type="dxa"/>
            <w:tcBorders>
              <w:top w:val="single" w:sz="4" w:space="0" w:color="auto"/>
              <w:left w:val="single" w:sz="4" w:space="0" w:color="auto"/>
              <w:bottom w:val="single" w:sz="4" w:space="0" w:color="auto"/>
              <w:right w:val="single" w:sz="4" w:space="0" w:color="auto"/>
            </w:tcBorders>
            <w:hideMark/>
          </w:tcPr>
          <w:p w14:paraId="13F89224" w14:textId="090A25C7" w:rsidR="00D9567C" w:rsidRPr="00D9567C" w:rsidRDefault="00D9567C" w:rsidP="00D9567C">
            <w:pPr>
              <w:spacing w:line="240" w:lineRule="auto"/>
              <w:rPr>
                <w:b/>
                <w:sz w:val="18"/>
                <w:szCs w:val="18"/>
              </w:rPr>
            </w:pPr>
            <w:r w:rsidRPr="00D9567C">
              <w:rPr>
                <w:b/>
                <w:sz w:val="18"/>
                <w:szCs w:val="18"/>
              </w:rPr>
              <w:t xml:space="preserve">No. </w:t>
            </w:r>
          </w:p>
        </w:tc>
        <w:tc>
          <w:tcPr>
            <w:tcW w:w="8430" w:type="dxa"/>
            <w:tcBorders>
              <w:top w:val="single" w:sz="4" w:space="0" w:color="auto"/>
              <w:left w:val="single" w:sz="4" w:space="0" w:color="auto"/>
              <w:bottom w:val="single" w:sz="4" w:space="0" w:color="auto"/>
              <w:right w:val="single" w:sz="4" w:space="0" w:color="auto"/>
            </w:tcBorders>
            <w:hideMark/>
          </w:tcPr>
          <w:p w14:paraId="420B252D" w14:textId="15EA38CC" w:rsidR="00D9567C" w:rsidRPr="00D9567C" w:rsidRDefault="00D9567C" w:rsidP="00D9567C">
            <w:pPr>
              <w:spacing w:line="240" w:lineRule="auto"/>
              <w:rPr>
                <w:b/>
                <w:color w:val="0D0D0D" w:themeColor="text1" w:themeTint="F2"/>
                <w:sz w:val="18"/>
                <w:szCs w:val="18"/>
              </w:rPr>
            </w:pPr>
            <w:r w:rsidRPr="00D9567C">
              <w:rPr>
                <w:b/>
                <w:color w:val="0D0D0D" w:themeColor="text1" w:themeTint="F2"/>
                <w:sz w:val="18"/>
                <w:szCs w:val="18"/>
              </w:rPr>
              <w:t xml:space="preserve">DESCRIPTION OF </w:t>
            </w:r>
            <w:r>
              <w:rPr>
                <w:b/>
                <w:color w:val="0D0D0D" w:themeColor="text1" w:themeTint="F2"/>
                <w:sz w:val="18"/>
                <w:szCs w:val="18"/>
              </w:rPr>
              <w:t xml:space="preserve">EXPECTED </w:t>
            </w:r>
            <w:r w:rsidRPr="00D9567C">
              <w:rPr>
                <w:b/>
                <w:color w:val="0D0D0D" w:themeColor="text1" w:themeTint="F2"/>
                <w:sz w:val="18"/>
                <w:szCs w:val="18"/>
              </w:rPr>
              <w:t xml:space="preserve">DELIVERABLES </w:t>
            </w:r>
          </w:p>
        </w:tc>
      </w:tr>
      <w:tr w:rsidR="00D9567C" w:rsidRPr="00D9567C" w14:paraId="6644BAA7" w14:textId="77777777" w:rsidTr="00D9567C">
        <w:trPr>
          <w:trHeight w:val="304"/>
        </w:trPr>
        <w:tc>
          <w:tcPr>
            <w:tcW w:w="745" w:type="dxa"/>
            <w:tcBorders>
              <w:top w:val="single" w:sz="4" w:space="0" w:color="auto"/>
              <w:left w:val="single" w:sz="4" w:space="0" w:color="auto"/>
              <w:bottom w:val="single" w:sz="4" w:space="0" w:color="auto"/>
              <w:right w:val="single" w:sz="4" w:space="0" w:color="auto"/>
            </w:tcBorders>
          </w:tcPr>
          <w:p w14:paraId="69DCCF78" w14:textId="77777777" w:rsidR="00D9567C" w:rsidRPr="00D9567C" w:rsidRDefault="00D9567C" w:rsidP="00D9567C">
            <w:pPr>
              <w:pStyle w:val="ListParagraph"/>
              <w:numPr>
                <w:ilvl w:val="0"/>
                <w:numId w:val="4"/>
              </w:numPr>
              <w:spacing w:after="0" w:line="240" w:lineRule="auto"/>
              <w:rPr>
                <w:bCs/>
                <w:sz w:val="18"/>
                <w:szCs w:val="18"/>
              </w:rPr>
            </w:pPr>
          </w:p>
        </w:tc>
        <w:tc>
          <w:tcPr>
            <w:tcW w:w="8430" w:type="dxa"/>
            <w:tcBorders>
              <w:top w:val="single" w:sz="4" w:space="0" w:color="auto"/>
              <w:left w:val="single" w:sz="4" w:space="0" w:color="auto"/>
              <w:bottom w:val="single" w:sz="4" w:space="0" w:color="auto"/>
              <w:right w:val="single" w:sz="4" w:space="0" w:color="auto"/>
            </w:tcBorders>
          </w:tcPr>
          <w:p w14:paraId="1A990D85" w14:textId="11D883A7" w:rsidR="00D9567C" w:rsidRPr="00D9567C" w:rsidRDefault="00D9567C" w:rsidP="00D9567C">
            <w:pPr>
              <w:spacing w:line="240" w:lineRule="auto"/>
              <w:rPr>
                <w:bCs/>
                <w:color w:val="0D0D0D" w:themeColor="text1" w:themeTint="F2"/>
                <w:sz w:val="18"/>
                <w:szCs w:val="18"/>
              </w:rPr>
            </w:pPr>
            <w:r w:rsidRPr="00D9567C">
              <w:rPr>
                <w:rFonts w:eastAsia="Times New Roman"/>
                <w:b/>
                <w:bCs/>
                <w:sz w:val="18"/>
                <w:szCs w:val="18"/>
              </w:rPr>
              <w:t>Inception report</w:t>
            </w:r>
            <w:r>
              <w:rPr>
                <w:rFonts w:eastAsia="Times New Roman"/>
                <w:b/>
                <w:bCs/>
                <w:sz w:val="18"/>
                <w:szCs w:val="18"/>
              </w:rPr>
              <w:br/>
            </w:r>
            <w:r w:rsidRPr="00D9567C">
              <w:rPr>
                <w:sz w:val="18"/>
                <w:szCs w:val="18"/>
              </w:rPr>
              <w:t xml:space="preserve">An inception report should be presented at the outset that lays out the workplan and approach to the implementation of the contract. </w:t>
            </w:r>
          </w:p>
        </w:tc>
      </w:tr>
      <w:tr w:rsidR="00D9567C" w:rsidRPr="00D9567C" w14:paraId="72205F82" w14:textId="77777777" w:rsidTr="00D9567C">
        <w:trPr>
          <w:trHeight w:val="304"/>
        </w:trPr>
        <w:tc>
          <w:tcPr>
            <w:tcW w:w="745" w:type="dxa"/>
            <w:tcBorders>
              <w:top w:val="single" w:sz="4" w:space="0" w:color="auto"/>
              <w:left w:val="single" w:sz="4" w:space="0" w:color="auto"/>
              <w:bottom w:val="single" w:sz="4" w:space="0" w:color="auto"/>
              <w:right w:val="single" w:sz="4" w:space="0" w:color="auto"/>
            </w:tcBorders>
          </w:tcPr>
          <w:p w14:paraId="75B978CC" w14:textId="77777777" w:rsidR="00D9567C" w:rsidRPr="00D9567C" w:rsidRDefault="00D9567C" w:rsidP="00D9567C">
            <w:pPr>
              <w:pStyle w:val="ListParagraph"/>
              <w:numPr>
                <w:ilvl w:val="0"/>
                <w:numId w:val="4"/>
              </w:numPr>
              <w:spacing w:after="0" w:line="240" w:lineRule="auto"/>
              <w:rPr>
                <w:bCs/>
                <w:sz w:val="18"/>
                <w:szCs w:val="18"/>
              </w:rPr>
            </w:pPr>
          </w:p>
        </w:tc>
        <w:tc>
          <w:tcPr>
            <w:tcW w:w="8430" w:type="dxa"/>
            <w:tcBorders>
              <w:top w:val="single" w:sz="4" w:space="0" w:color="auto"/>
              <w:left w:val="single" w:sz="4" w:space="0" w:color="auto"/>
              <w:bottom w:val="single" w:sz="4" w:space="0" w:color="auto"/>
              <w:right w:val="single" w:sz="4" w:space="0" w:color="auto"/>
            </w:tcBorders>
          </w:tcPr>
          <w:p w14:paraId="2460979C" w14:textId="013C7930" w:rsidR="00D9567C" w:rsidRPr="00D9567C" w:rsidRDefault="00D9567C" w:rsidP="00D9567C">
            <w:pPr>
              <w:spacing w:line="240" w:lineRule="auto"/>
              <w:rPr>
                <w:b/>
                <w:bCs/>
                <w:sz w:val="18"/>
                <w:szCs w:val="18"/>
              </w:rPr>
            </w:pPr>
            <w:r w:rsidRPr="00D9567C">
              <w:rPr>
                <w:b/>
                <w:bCs/>
                <w:sz w:val="18"/>
                <w:szCs w:val="18"/>
              </w:rPr>
              <w:t>Capacity building training for SEMA on NTS</w:t>
            </w:r>
            <w:r w:rsidR="00B26395">
              <w:rPr>
                <w:b/>
                <w:bCs/>
                <w:sz w:val="18"/>
                <w:szCs w:val="18"/>
              </w:rPr>
              <w:t xml:space="preserve"> with focus on the collection of socio-economic impact data</w:t>
            </w:r>
            <w:r>
              <w:rPr>
                <w:b/>
                <w:bCs/>
                <w:sz w:val="18"/>
                <w:szCs w:val="18"/>
              </w:rPr>
              <w:br/>
            </w:r>
            <w:r w:rsidRPr="00D9567C">
              <w:rPr>
                <w:bCs/>
                <w:sz w:val="18"/>
                <w:szCs w:val="18"/>
              </w:rPr>
              <w:t>Activity:</w:t>
            </w:r>
          </w:p>
          <w:p w14:paraId="5D9392A7" w14:textId="6CB25F63" w:rsidR="00D9567C" w:rsidRPr="00D9567C" w:rsidRDefault="00D9567C" w:rsidP="00D9567C">
            <w:pPr>
              <w:pStyle w:val="ListParagraph"/>
              <w:widowControl w:val="0"/>
              <w:numPr>
                <w:ilvl w:val="0"/>
                <w:numId w:val="5"/>
              </w:numPr>
              <w:overflowPunct w:val="0"/>
              <w:adjustRightInd w:val="0"/>
              <w:spacing w:after="0" w:line="240" w:lineRule="auto"/>
              <w:rPr>
                <w:bCs/>
                <w:sz w:val="18"/>
                <w:szCs w:val="18"/>
              </w:rPr>
            </w:pPr>
            <w:r w:rsidRPr="00D9567C">
              <w:rPr>
                <w:bCs/>
                <w:sz w:val="18"/>
                <w:szCs w:val="18"/>
              </w:rPr>
              <w:t xml:space="preserve">It is anticipated that the training will be a combination of departmental and individual training delivered for SEMA staff Including a combination of classroom-based training and on the job training and mentoring. </w:t>
            </w:r>
          </w:p>
        </w:tc>
      </w:tr>
      <w:tr w:rsidR="00D9567C" w:rsidRPr="00D9567C" w14:paraId="53CE460B" w14:textId="77777777" w:rsidTr="00D9567C">
        <w:trPr>
          <w:trHeight w:val="304"/>
        </w:trPr>
        <w:tc>
          <w:tcPr>
            <w:tcW w:w="745" w:type="dxa"/>
            <w:tcBorders>
              <w:top w:val="single" w:sz="4" w:space="0" w:color="auto"/>
              <w:left w:val="single" w:sz="4" w:space="0" w:color="auto"/>
              <w:bottom w:val="single" w:sz="4" w:space="0" w:color="auto"/>
              <w:right w:val="single" w:sz="4" w:space="0" w:color="auto"/>
            </w:tcBorders>
          </w:tcPr>
          <w:p w14:paraId="5EFCDFEF" w14:textId="77777777" w:rsidR="00D9567C" w:rsidRPr="00D9567C" w:rsidRDefault="00D9567C" w:rsidP="00D9567C">
            <w:pPr>
              <w:pStyle w:val="ListParagraph"/>
              <w:numPr>
                <w:ilvl w:val="0"/>
                <w:numId w:val="4"/>
              </w:numPr>
              <w:spacing w:after="0" w:line="240" w:lineRule="auto"/>
              <w:rPr>
                <w:bCs/>
                <w:sz w:val="18"/>
                <w:szCs w:val="18"/>
              </w:rPr>
            </w:pPr>
          </w:p>
        </w:tc>
        <w:tc>
          <w:tcPr>
            <w:tcW w:w="8430" w:type="dxa"/>
            <w:tcBorders>
              <w:top w:val="single" w:sz="4" w:space="0" w:color="auto"/>
              <w:left w:val="single" w:sz="4" w:space="0" w:color="auto"/>
              <w:bottom w:val="single" w:sz="4" w:space="0" w:color="auto"/>
              <w:right w:val="single" w:sz="4" w:space="0" w:color="auto"/>
            </w:tcBorders>
          </w:tcPr>
          <w:p w14:paraId="3E30208C" w14:textId="5F4C47F7" w:rsidR="00D9567C" w:rsidRPr="00D9567C" w:rsidRDefault="00D9567C" w:rsidP="00D9567C">
            <w:pPr>
              <w:spacing w:line="240" w:lineRule="auto"/>
              <w:rPr>
                <w:b/>
                <w:bCs/>
                <w:sz w:val="18"/>
                <w:szCs w:val="18"/>
              </w:rPr>
            </w:pPr>
            <w:r w:rsidRPr="00D9567C">
              <w:rPr>
                <w:b/>
                <w:bCs/>
                <w:sz w:val="18"/>
                <w:szCs w:val="18"/>
              </w:rPr>
              <w:t>Pilot exercise for NTS</w:t>
            </w:r>
            <w:r>
              <w:rPr>
                <w:b/>
                <w:bCs/>
                <w:sz w:val="18"/>
                <w:szCs w:val="18"/>
              </w:rPr>
              <w:br/>
            </w:r>
            <w:r w:rsidRPr="00D9567C">
              <w:rPr>
                <w:bCs/>
                <w:sz w:val="18"/>
                <w:szCs w:val="18"/>
              </w:rPr>
              <w:t>Activity:</w:t>
            </w:r>
          </w:p>
          <w:p w14:paraId="37EE01B7" w14:textId="1B0FB682" w:rsidR="00D9567C" w:rsidRPr="00D9567C" w:rsidRDefault="00D9567C" w:rsidP="00D9567C">
            <w:pPr>
              <w:pStyle w:val="ListParagraph"/>
              <w:widowControl w:val="0"/>
              <w:numPr>
                <w:ilvl w:val="0"/>
                <w:numId w:val="5"/>
              </w:numPr>
              <w:overflowPunct w:val="0"/>
              <w:adjustRightInd w:val="0"/>
              <w:spacing w:after="0" w:line="240" w:lineRule="auto"/>
              <w:rPr>
                <w:bCs/>
                <w:sz w:val="18"/>
                <w:szCs w:val="18"/>
              </w:rPr>
            </w:pPr>
            <w:r w:rsidRPr="00D9567C">
              <w:rPr>
                <w:bCs/>
                <w:sz w:val="18"/>
                <w:szCs w:val="18"/>
              </w:rPr>
              <w:t>It is anticipated that a pilot exercise to provide hands on monitoring will be conducted</w:t>
            </w:r>
          </w:p>
        </w:tc>
      </w:tr>
      <w:tr w:rsidR="00D9567C" w:rsidRPr="00D9567C" w14:paraId="379F23A4" w14:textId="77777777" w:rsidTr="00D9567C">
        <w:trPr>
          <w:trHeight w:val="304"/>
        </w:trPr>
        <w:tc>
          <w:tcPr>
            <w:tcW w:w="745" w:type="dxa"/>
            <w:tcBorders>
              <w:top w:val="single" w:sz="4" w:space="0" w:color="auto"/>
              <w:left w:val="single" w:sz="4" w:space="0" w:color="auto"/>
              <w:bottom w:val="single" w:sz="4" w:space="0" w:color="auto"/>
              <w:right w:val="single" w:sz="4" w:space="0" w:color="auto"/>
            </w:tcBorders>
          </w:tcPr>
          <w:p w14:paraId="2B6207C3" w14:textId="77777777" w:rsidR="00D9567C" w:rsidRPr="00D9567C" w:rsidRDefault="00D9567C" w:rsidP="00D9567C">
            <w:pPr>
              <w:pStyle w:val="ListParagraph"/>
              <w:numPr>
                <w:ilvl w:val="0"/>
                <w:numId w:val="4"/>
              </w:numPr>
              <w:spacing w:after="0" w:line="240" w:lineRule="auto"/>
              <w:rPr>
                <w:bCs/>
                <w:sz w:val="18"/>
                <w:szCs w:val="18"/>
              </w:rPr>
            </w:pPr>
          </w:p>
        </w:tc>
        <w:tc>
          <w:tcPr>
            <w:tcW w:w="8430" w:type="dxa"/>
            <w:tcBorders>
              <w:top w:val="single" w:sz="4" w:space="0" w:color="auto"/>
              <w:left w:val="single" w:sz="4" w:space="0" w:color="auto"/>
              <w:bottom w:val="single" w:sz="4" w:space="0" w:color="auto"/>
              <w:right w:val="single" w:sz="4" w:space="0" w:color="auto"/>
            </w:tcBorders>
          </w:tcPr>
          <w:p w14:paraId="14910F99" w14:textId="79B28E49" w:rsidR="008437B8" w:rsidRPr="008437B8" w:rsidRDefault="008437B8" w:rsidP="008437B8">
            <w:pPr>
              <w:spacing w:line="240" w:lineRule="auto"/>
              <w:rPr>
                <w:rFonts w:eastAsia="Times New Roman"/>
                <w:b/>
                <w:bCs/>
                <w:sz w:val="18"/>
                <w:szCs w:val="18"/>
              </w:rPr>
            </w:pPr>
            <w:r w:rsidRPr="008437B8">
              <w:rPr>
                <w:rFonts w:eastAsia="Times New Roman"/>
                <w:b/>
                <w:bCs/>
                <w:sz w:val="18"/>
                <w:szCs w:val="18"/>
              </w:rPr>
              <w:t>Survey plan</w:t>
            </w:r>
          </w:p>
          <w:p w14:paraId="356C7703" w14:textId="77F77995" w:rsidR="00D9567C" w:rsidRPr="00985A80" w:rsidRDefault="00985A80" w:rsidP="00985A80">
            <w:pPr>
              <w:pStyle w:val="ListParagraph"/>
              <w:numPr>
                <w:ilvl w:val="0"/>
                <w:numId w:val="5"/>
              </w:numPr>
              <w:spacing w:line="240" w:lineRule="auto"/>
              <w:rPr>
                <w:rFonts w:eastAsia="Times New Roman"/>
                <w:sz w:val="18"/>
                <w:szCs w:val="18"/>
              </w:rPr>
            </w:pPr>
            <w:r w:rsidRPr="00985A80">
              <w:rPr>
                <w:rFonts w:eastAsia="Times New Roman"/>
                <w:sz w:val="18"/>
                <w:szCs w:val="18"/>
              </w:rPr>
              <w:t xml:space="preserve">Support SEMA </w:t>
            </w:r>
            <w:r w:rsidR="008437B8">
              <w:rPr>
                <w:rFonts w:eastAsia="Times New Roman"/>
                <w:sz w:val="18"/>
                <w:szCs w:val="18"/>
              </w:rPr>
              <w:t>with putting</w:t>
            </w:r>
            <w:r w:rsidRPr="00985A80">
              <w:rPr>
                <w:rFonts w:eastAsia="Times New Roman"/>
                <w:sz w:val="18"/>
                <w:szCs w:val="18"/>
              </w:rPr>
              <w:t xml:space="preserve"> together a future survey plan</w:t>
            </w:r>
          </w:p>
        </w:tc>
      </w:tr>
      <w:tr w:rsidR="00985A80" w:rsidRPr="00D9567C" w14:paraId="12FD843E" w14:textId="77777777" w:rsidTr="00985A80">
        <w:trPr>
          <w:trHeight w:val="304"/>
        </w:trPr>
        <w:tc>
          <w:tcPr>
            <w:tcW w:w="745" w:type="dxa"/>
            <w:tcBorders>
              <w:top w:val="single" w:sz="4" w:space="0" w:color="auto"/>
              <w:left w:val="single" w:sz="4" w:space="0" w:color="auto"/>
              <w:bottom w:val="single" w:sz="4" w:space="0" w:color="auto"/>
              <w:right w:val="single" w:sz="4" w:space="0" w:color="auto"/>
            </w:tcBorders>
          </w:tcPr>
          <w:p w14:paraId="067E3052" w14:textId="77777777" w:rsidR="00985A80" w:rsidRPr="00D9567C" w:rsidRDefault="00985A80" w:rsidP="00B31CEB">
            <w:pPr>
              <w:pStyle w:val="ListParagraph"/>
              <w:numPr>
                <w:ilvl w:val="0"/>
                <w:numId w:val="4"/>
              </w:numPr>
              <w:spacing w:after="0" w:line="240" w:lineRule="auto"/>
              <w:rPr>
                <w:bCs/>
                <w:sz w:val="18"/>
                <w:szCs w:val="18"/>
              </w:rPr>
            </w:pPr>
          </w:p>
        </w:tc>
        <w:tc>
          <w:tcPr>
            <w:tcW w:w="8430" w:type="dxa"/>
            <w:tcBorders>
              <w:top w:val="single" w:sz="4" w:space="0" w:color="auto"/>
              <w:left w:val="single" w:sz="4" w:space="0" w:color="auto"/>
              <w:bottom w:val="single" w:sz="4" w:space="0" w:color="auto"/>
              <w:right w:val="single" w:sz="4" w:space="0" w:color="auto"/>
            </w:tcBorders>
          </w:tcPr>
          <w:p w14:paraId="3D30C4DF" w14:textId="04A38EC4" w:rsidR="00985A80" w:rsidRPr="00985A80" w:rsidRDefault="00985A80" w:rsidP="00B31CEB">
            <w:pPr>
              <w:pStyle w:val="ListParagraph"/>
              <w:widowControl w:val="0"/>
              <w:numPr>
                <w:ilvl w:val="0"/>
                <w:numId w:val="5"/>
              </w:numPr>
              <w:overflowPunct w:val="0"/>
              <w:adjustRightInd w:val="0"/>
              <w:spacing w:after="0" w:line="240" w:lineRule="auto"/>
              <w:rPr>
                <w:rFonts w:eastAsia="Times New Roman"/>
                <w:sz w:val="18"/>
                <w:szCs w:val="18"/>
              </w:rPr>
            </w:pPr>
            <w:r w:rsidRPr="00D9567C">
              <w:rPr>
                <w:rFonts w:eastAsia="Times New Roman"/>
                <w:b/>
                <w:bCs/>
                <w:sz w:val="18"/>
                <w:szCs w:val="18"/>
              </w:rPr>
              <w:t>A Final Report</w:t>
            </w:r>
            <w:r>
              <w:rPr>
                <w:rFonts w:eastAsia="Times New Roman"/>
                <w:b/>
                <w:bCs/>
                <w:sz w:val="18"/>
                <w:szCs w:val="18"/>
              </w:rPr>
              <w:t xml:space="preserve"> </w:t>
            </w:r>
            <w:r>
              <w:rPr>
                <w:rFonts w:eastAsia="Times New Roman"/>
                <w:b/>
                <w:bCs/>
                <w:sz w:val="18"/>
                <w:szCs w:val="18"/>
              </w:rPr>
              <w:br/>
            </w:r>
            <w:r w:rsidRPr="00D9567C">
              <w:rPr>
                <w:rFonts w:eastAsia="Times New Roman"/>
                <w:sz w:val="18"/>
                <w:szCs w:val="18"/>
              </w:rPr>
              <w:t>Final report summarizes what has been delivered and anticipated impact.</w:t>
            </w:r>
          </w:p>
        </w:tc>
      </w:tr>
    </w:tbl>
    <w:p w14:paraId="1E14832A" w14:textId="77777777" w:rsidR="00D9567C" w:rsidRPr="00D9567C" w:rsidRDefault="00D9567C" w:rsidP="00D9567C">
      <w:pPr>
        <w:jc w:val="both"/>
        <w:rPr>
          <w:rFonts w:ascii="Times New Roman" w:hAnsi="Times New Roman" w:cs="Times New Roman"/>
        </w:rPr>
      </w:pPr>
    </w:p>
    <w:p w14:paraId="6350D8EF" w14:textId="25A1DC85" w:rsidR="002A0E46" w:rsidRDefault="002A0E46" w:rsidP="00CE3C22">
      <w:pPr>
        <w:pStyle w:val="ListParagraph"/>
        <w:numPr>
          <w:ilvl w:val="0"/>
          <w:numId w:val="2"/>
        </w:numPr>
        <w:jc w:val="both"/>
        <w:rPr>
          <w:rFonts w:ascii="Times New Roman" w:hAnsi="Times New Roman" w:cs="Times New Roman"/>
        </w:rPr>
      </w:pPr>
      <w:r>
        <w:rPr>
          <w:rFonts w:ascii="Times New Roman" w:hAnsi="Times New Roman" w:cs="Times New Roman"/>
        </w:rPr>
        <w:t>The proposal shall include:</w:t>
      </w:r>
    </w:p>
    <w:p w14:paraId="01CA2B8E" w14:textId="77777777" w:rsidR="00017641" w:rsidRPr="00814716" w:rsidRDefault="00017641" w:rsidP="00017641">
      <w:pPr>
        <w:pStyle w:val="ListParagraph"/>
        <w:widowControl w:val="0"/>
        <w:numPr>
          <w:ilvl w:val="1"/>
          <w:numId w:val="2"/>
        </w:numPr>
        <w:overflowPunct w:val="0"/>
        <w:adjustRightInd w:val="0"/>
        <w:spacing w:after="0" w:line="240" w:lineRule="auto"/>
        <w:rPr>
          <w:rFonts w:cstheme="minorHAnsi"/>
          <w:color w:val="000000" w:themeColor="text1"/>
        </w:rPr>
      </w:pPr>
      <w:r w:rsidRPr="00814716">
        <w:rPr>
          <w:rFonts w:cstheme="minorHAnsi"/>
          <w:color w:val="000000" w:themeColor="text1"/>
        </w:rPr>
        <w:t>Bid Submission Cover Letter Form (see ITB Section 4)</w:t>
      </w:r>
    </w:p>
    <w:p w14:paraId="43F59903" w14:textId="77777777" w:rsidR="00017641" w:rsidRPr="00AD6B44" w:rsidRDefault="00017641" w:rsidP="00017641">
      <w:pPr>
        <w:pStyle w:val="ListParagraph"/>
        <w:widowControl w:val="0"/>
        <w:numPr>
          <w:ilvl w:val="1"/>
          <w:numId w:val="2"/>
        </w:numPr>
        <w:overflowPunct w:val="0"/>
        <w:adjustRightInd w:val="0"/>
        <w:spacing w:after="0" w:line="240" w:lineRule="auto"/>
        <w:rPr>
          <w:rFonts w:cstheme="minorHAnsi"/>
          <w:color w:val="000000" w:themeColor="text1"/>
        </w:rPr>
      </w:pPr>
      <w:r w:rsidRPr="00814716">
        <w:rPr>
          <w:rFonts w:cstheme="minorHAnsi"/>
          <w:color w:val="000000" w:themeColor="text1"/>
        </w:rPr>
        <w:t xml:space="preserve">Documents Establishing the Eligibility and Qualifications of the </w:t>
      </w:r>
      <w:r w:rsidRPr="00AD6B44">
        <w:rPr>
          <w:rFonts w:cstheme="minorHAnsi"/>
          <w:color w:val="000000" w:themeColor="text1"/>
        </w:rPr>
        <w:t>Bidder (see ITB Section 5)</w:t>
      </w:r>
    </w:p>
    <w:p w14:paraId="3FFBEB4C" w14:textId="77777777" w:rsidR="00017641" w:rsidRPr="00AD6B44" w:rsidRDefault="00017641" w:rsidP="00017641">
      <w:pPr>
        <w:pStyle w:val="ListParagraph"/>
        <w:widowControl w:val="0"/>
        <w:numPr>
          <w:ilvl w:val="1"/>
          <w:numId w:val="2"/>
        </w:numPr>
        <w:overflowPunct w:val="0"/>
        <w:adjustRightInd w:val="0"/>
        <w:spacing w:after="0" w:line="240" w:lineRule="auto"/>
        <w:rPr>
          <w:rFonts w:cstheme="minorHAnsi"/>
          <w:color w:val="000000" w:themeColor="text1"/>
        </w:rPr>
      </w:pPr>
      <w:r w:rsidRPr="00AD6B44">
        <w:rPr>
          <w:rFonts w:cstheme="minorHAnsi"/>
          <w:color w:val="000000" w:themeColor="text1"/>
        </w:rPr>
        <w:t>Technical Bid</w:t>
      </w:r>
      <w:r>
        <w:rPr>
          <w:rFonts w:cstheme="minorHAnsi"/>
          <w:color w:val="000000" w:themeColor="text1"/>
        </w:rPr>
        <w:t xml:space="preserve"> </w:t>
      </w:r>
      <w:r w:rsidRPr="00AD6B44">
        <w:rPr>
          <w:rFonts w:cstheme="minorHAnsi"/>
          <w:color w:val="000000" w:themeColor="text1"/>
        </w:rPr>
        <w:t>(see prescribed form in ITB Section 6)</w:t>
      </w:r>
    </w:p>
    <w:p w14:paraId="3E7E9FF8" w14:textId="77777777" w:rsidR="00017641" w:rsidRPr="00814716" w:rsidRDefault="00017641" w:rsidP="00017641">
      <w:pPr>
        <w:pStyle w:val="ListParagraph"/>
        <w:widowControl w:val="0"/>
        <w:numPr>
          <w:ilvl w:val="1"/>
          <w:numId w:val="2"/>
        </w:numPr>
        <w:overflowPunct w:val="0"/>
        <w:adjustRightInd w:val="0"/>
        <w:spacing w:after="0" w:line="240" w:lineRule="auto"/>
        <w:rPr>
          <w:rFonts w:cstheme="minorHAnsi"/>
          <w:color w:val="000000" w:themeColor="text1"/>
        </w:rPr>
      </w:pPr>
      <w:r w:rsidRPr="00814716">
        <w:rPr>
          <w:rFonts w:cstheme="minorHAnsi"/>
          <w:color w:val="000000" w:themeColor="text1"/>
        </w:rPr>
        <w:t>Price Schedule</w:t>
      </w:r>
      <w:r>
        <w:rPr>
          <w:rFonts w:cstheme="minorHAnsi"/>
          <w:color w:val="000000" w:themeColor="text1"/>
        </w:rPr>
        <w:t xml:space="preserve"> </w:t>
      </w:r>
      <w:r w:rsidRPr="00814716">
        <w:rPr>
          <w:rFonts w:cstheme="minorHAnsi"/>
          <w:color w:val="000000" w:themeColor="text1"/>
        </w:rPr>
        <w:t>(see prescribed form in ITB Section 7)</w:t>
      </w:r>
    </w:p>
    <w:p w14:paraId="1ACBD360" w14:textId="77777777" w:rsidR="00017641" w:rsidRPr="00814716" w:rsidRDefault="00017641" w:rsidP="00017641">
      <w:pPr>
        <w:pStyle w:val="ListParagraph"/>
        <w:widowControl w:val="0"/>
        <w:numPr>
          <w:ilvl w:val="1"/>
          <w:numId w:val="2"/>
        </w:numPr>
        <w:overflowPunct w:val="0"/>
        <w:adjustRightInd w:val="0"/>
        <w:spacing w:after="0" w:line="240" w:lineRule="auto"/>
        <w:rPr>
          <w:rFonts w:cstheme="minorHAnsi"/>
          <w:color w:val="000000" w:themeColor="text1"/>
        </w:rPr>
      </w:pPr>
      <w:r w:rsidRPr="00814716">
        <w:rPr>
          <w:rFonts w:cstheme="minorHAnsi"/>
          <w:color w:val="000000" w:themeColor="text1"/>
        </w:rPr>
        <w:t>Bid Security, if applicable</w:t>
      </w:r>
      <w:r>
        <w:rPr>
          <w:rFonts w:cstheme="minorHAnsi"/>
          <w:color w:val="000000" w:themeColor="text1"/>
        </w:rPr>
        <w:t xml:space="preserve"> </w:t>
      </w:r>
      <w:r w:rsidRPr="00814716">
        <w:rPr>
          <w:rFonts w:cstheme="minorHAnsi"/>
          <w:color w:val="000000" w:themeColor="text1"/>
        </w:rPr>
        <w:t>(if required and as stated in the DSnos. 9-11, see prescribed Form in ITB Section 8)</w:t>
      </w:r>
    </w:p>
    <w:p w14:paraId="1878BB08" w14:textId="77777777" w:rsidR="00017641" w:rsidRPr="00814716" w:rsidRDefault="00017641" w:rsidP="00017641">
      <w:pPr>
        <w:pStyle w:val="ListParagraph"/>
        <w:widowControl w:val="0"/>
        <w:numPr>
          <w:ilvl w:val="1"/>
          <w:numId w:val="2"/>
        </w:numPr>
        <w:overflowPunct w:val="0"/>
        <w:adjustRightInd w:val="0"/>
        <w:spacing w:after="0" w:line="240" w:lineRule="auto"/>
        <w:rPr>
          <w:rFonts w:cstheme="minorHAnsi"/>
          <w:color w:val="000000" w:themeColor="text1"/>
        </w:rPr>
      </w:pPr>
      <w:r w:rsidRPr="00814716">
        <w:rPr>
          <w:rFonts w:cstheme="minorHAnsi"/>
          <w:color w:val="000000" w:themeColor="text1"/>
        </w:rPr>
        <w:t>Any attachments and/or appendices to the</w:t>
      </w:r>
      <w:r>
        <w:rPr>
          <w:rFonts w:cstheme="minorHAnsi"/>
          <w:color w:val="000000" w:themeColor="text1"/>
        </w:rPr>
        <w:t xml:space="preserve"> </w:t>
      </w:r>
      <w:r w:rsidRPr="00814716">
        <w:rPr>
          <w:rFonts w:cstheme="minorHAnsi"/>
          <w:color w:val="000000" w:themeColor="text1"/>
        </w:rPr>
        <w:t xml:space="preserve">Bid (including all those specified under the </w:t>
      </w:r>
      <w:r w:rsidRPr="00814716">
        <w:rPr>
          <w:rFonts w:cstheme="minorHAnsi"/>
          <w:b/>
          <w:color w:val="000000" w:themeColor="text1"/>
        </w:rPr>
        <w:t>Data Sheet</w:t>
      </w:r>
      <w:r w:rsidRPr="00814716">
        <w:rPr>
          <w:rFonts w:cstheme="minorHAnsi"/>
          <w:color w:val="000000" w:themeColor="text1"/>
        </w:rPr>
        <w:t>)</w:t>
      </w:r>
    </w:p>
    <w:p w14:paraId="53FB1ACF" w14:textId="223FB9DE" w:rsidR="001A23D9" w:rsidRPr="00DA424A" w:rsidRDefault="001A23D9" w:rsidP="00017641">
      <w:pPr>
        <w:pStyle w:val="ListParagraph"/>
        <w:ind w:left="2160"/>
        <w:jc w:val="both"/>
        <w:rPr>
          <w:lang w:val="is-IS"/>
        </w:rPr>
      </w:pPr>
    </w:p>
    <w:sectPr w:rsidR="001A23D9" w:rsidRPr="00DA424A" w:rsidSect="008007F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4C9B16" w14:textId="77777777" w:rsidR="006A4ECA" w:rsidRDefault="006A4ECA" w:rsidP="002A0E46">
      <w:pPr>
        <w:spacing w:after="0" w:line="240" w:lineRule="auto"/>
      </w:pPr>
      <w:r>
        <w:separator/>
      </w:r>
    </w:p>
  </w:endnote>
  <w:endnote w:type="continuationSeparator" w:id="0">
    <w:p w14:paraId="716A520C" w14:textId="77777777" w:rsidR="006A4ECA" w:rsidRDefault="006A4ECA" w:rsidP="002A0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Helvetica Neue">
    <w:altName w:val="Helvetica Neue"/>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65E6C8" w14:textId="77777777" w:rsidR="006A4ECA" w:rsidRDefault="006A4ECA" w:rsidP="002A0E46">
      <w:pPr>
        <w:spacing w:after="0" w:line="240" w:lineRule="auto"/>
      </w:pPr>
      <w:r>
        <w:separator/>
      </w:r>
    </w:p>
  </w:footnote>
  <w:footnote w:type="continuationSeparator" w:id="0">
    <w:p w14:paraId="37B73FB0" w14:textId="77777777" w:rsidR="006A4ECA" w:rsidRDefault="006A4ECA" w:rsidP="002A0E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708D4"/>
    <w:multiLevelType w:val="hybridMultilevel"/>
    <w:tmpl w:val="D062B9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25105AD"/>
    <w:multiLevelType w:val="hybridMultilevel"/>
    <w:tmpl w:val="23501C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D930BE"/>
    <w:multiLevelType w:val="hybridMultilevel"/>
    <w:tmpl w:val="126AB332"/>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321A9DE2">
      <w:start w:val="1"/>
      <w:numFmt w:val="bullet"/>
      <w:lvlText w:val="-"/>
      <w:lvlJc w:val="left"/>
      <w:pPr>
        <w:ind w:left="2880" w:hanging="360"/>
      </w:pPr>
      <w:rPr>
        <w:rFonts w:ascii="Times New Roman" w:eastAsiaTheme="minorHAnsi" w:hAnsi="Times New Roman" w:cs="Times New Roman"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0AF115D"/>
    <w:multiLevelType w:val="hybridMultilevel"/>
    <w:tmpl w:val="16A8A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9E5155"/>
    <w:multiLevelType w:val="hybridMultilevel"/>
    <w:tmpl w:val="03CAAED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3D9"/>
    <w:rsid w:val="00017641"/>
    <w:rsid w:val="000655E4"/>
    <w:rsid w:val="000A0D06"/>
    <w:rsid w:val="000B1533"/>
    <w:rsid w:val="000C6366"/>
    <w:rsid w:val="001009A0"/>
    <w:rsid w:val="001951B2"/>
    <w:rsid w:val="001A23D9"/>
    <w:rsid w:val="001A49C3"/>
    <w:rsid w:val="00274F16"/>
    <w:rsid w:val="002A0E46"/>
    <w:rsid w:val="0039147D"/>
    <w:rsid w:val="004F72AF"/>
    <w:rsid w:val="006A4ECA"/>
    <w:rsid w:val="007506F7"/>
    <w:rsid w:val="008007FB"/>
    <w:rsid w:val="008228ED"/>
    <w:rsid w:val="008242A4"/>
    <w:rsid w:val="008437B8"/>
    <w:rsid w:val="0087496C"/>
    <w:rsid w:val="008D1610"/>
    <w:rsid w:val="008F4944"/>
    <w:rsid w:val="00985A80"/>
    <w:rsid w:val="009C2251"/>
    <w:rsid w:val="00B26395"/>
    <w:rsid w:val="00BF55F9"/>
    <w:rsid w:val="00C76D79"/>
    <w:rsid w:val="00CE3C22"/>
    <w:rsid w:val="00D46C84"/>
    <w:rsid w:val="00D77003"/>
    <w:rsid w:val="00D9567C"/>
    <w:rsid w:val="00DA424A"/>
    <w:rsid w:val="00DD239D"/>
    <w:rsid w:val="00E011EA"/>
    <w:rsid w:val="00E11B81"/>
    <w:rsid w:val="00EA5D23"/>
    <w:rsid w:val="00F42465"/>
    <w:rsid w:val="00F954CF"/>
    <w:rsid w:val="00FA5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E0EA4"/>
  <w15:chartTrackingRefBased/>
  <w15:docId w15:val="{0B739439-423D-D146-861C-0B8498F0A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3D9"/>
    <w:pPr>
      <w:spacing w:after="200" w:line="276"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A23D9"/>
    <w:pPr>
      <w:tabs>
        <w:tab w:val="center" w:pos="4320"/>
        <w:tab w:val="right" w:pos="8640"/>
      </w:tabs>
      <w:spacing w:after="0" w:line="240" w:lineRule="auto"/>
    </w:pPr>
    <w:rPr>
      <w:rFonts w:ascii="Times New Roman" w:eastAsia="Batang" w:hAnsi="Times New Roman" w:cs="Times New Roman"/>
      <w:sz w:val="24"/>
      <w:szCs w:val="24"/>
    </w:rPr>
  </w:style>
  <w:style w:type="character" w:customStyle="1" w:styleId="HeaderChar">
    <w:name w:val="Header Char"/>
    <w:basedOn w:val="DefaultParagraphFont"/>
    <w:link w:val="Header"/>
    <w:uiPriority w:val="99"/>
    <w:rsid w:val="001A23D9"/>
    <w:rPr>
      <w:rFonts w:ascii="Times New Roman" w:eastAsia="Batang" w:hAnsi="Times New Roman" w:cs="Times New Roman"/>
      <w:lang w:val="en-GB"/>
    </w:rPr>
  </w:style>
  <w:style w:type="paragraph" w:styleId="NormalWeb">
    <w:name w:val="Normal (Web)"/>
    <w:basedOn w:val="Normal"/>
    <w:uiPriority w:val="99"/>
    <w:semiHidden/>
    <w:unhideWhenUsed/>
    <w:rsid w:val="001009A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aliases w:val="Lapis Bulleted List,References,List Paragraph (numbered (a)),Dot pt,F5 List Paragraph,List Paragraph1,List Paragraph Char Char Char,Indicator Text,Numbered Para 1,Bullet 1,Bullet Points,Bullets,Main Body,Citation List,normal"/>
    <w:basedOn w:val="Normal"/>
    <w:link w:val="ListParagraphChar"/>
    <w:uiPriority w:val="34"/>
    <w:qFormat/>
    <w:rsid w:val="00F42465"/>
    <w:pPr>
      <w:ind w:left="720"/>
      <w:contextualSpacing/>
    </w:pPr>
  </w:style>
  <w:style w:type="paragraph" w:styleId="FootnoteText">
    <w:name w:val="footnote text"/>
    <w:aliases w:val=" Car,Footnote Char Char,ft,single space,ft Char Char Char,ft Char Char,Nbpage Moens,Footnote Text Char1 Char,Footnote Text Char Char Char,Footnote Text Char Char Char Char Char Char Char Char Char Char,Fußnotentextf,DDG x"/>
    <w:basedOn w:val="Normal"/>
    <w:link w:val="FootnoteTextChar"/>
    <w:uiPriority w:val="99"/>
    <w:unhideWhenUsed/>
    <w:rsid w:val="002A0E46"/>
    <w:pPr>
      <w:spacing w:after="0"/>
    </w:pPr>
    <w:rPr>
      <w:rFonts w:ascii="Helvetica Neue" w:eastAsia="Times New Roman" w:hAnsi="Helvetica Neue" w:cs="Times New Roman"/>
      <w:sz w:val="20"/>
      <w:szCs w:val="20"/>
      <w:lang w:eastAsia="en-GB"/>
    </w:rPr>
  </w:style>
  <w:style w:type="character" w:customStyle="1" w:styleId="FootnoteTextChar">
    <w:name w:val="Footnote Text Char"/>
    <w:aliases w:val=" Car Char,Footnote Char Char Char,ft Char,single space Char,ft Char Char Char Char,ft Char Char Char1,Nbpage Moens Char,Footnote Text Char1 Char Char,Footnote Text Char Char Char Char,Fußnotentextf Char,DDG x Char"/>
    <w:basedOn w:val="DefaultParagraphFont"/>
    <w:link w:val="FootnoteText"/>
    <w:uiPriority w:val="99"/>
    <w:rsid w:val="002A0E46"/>
    <w:rPr>
      <w:rFonts w:ascii="Helvetica Neue" w:eastAsia="Times New Roman" w:hAnsi="Helvetica Neue" w:cs="Times New Roman"/>
      <w:sz w:val="20"/>
      <w:szCs w:val="20"/>
      <w:lang w:val="en-GB" w:eastAsia="en-GB"/>
    </w:rPr>
  </w:style>
  <w:style w:type="character" w:styleId="FootnoteReference">
    <w:name w:val="footnote reference"/>
    <w:aliases w:val="ftref,fr,Footnote Ref in FtNote,SUPERS,16 Point,Superscript 6 Point,DDG,Footnote Reference Number,BVI fnr,nota pié di pagina, BVI fnr,Odwołanie przypisu,Footnote symbol,Footnote Reference_LVL6...,Footnote Reference_LVL6,Ref"/>
    <w:basedOn w:val="DefaultParagraphFont"/>
    <w:uiPriority w:val="99"/>
    <w:unhideWhenUsed/>
    <w:qFormat/>
    <w:rsid w:val="002A0E46"/>
    <w:rPr>
      <w:vertAlign w:val="superscript"/>
    </w:rPr>
  </w:style>
  <w:style w:type="character" w:customStyle="1" w:styleId="ListParagraphChar">
    <w:name w:val="List Paragraph Char"/>
    <w:aliases w:val="Lapis Bulleted List Char,References Char,List Paragraph (numbered (a)) Char,Dot pt Char,F5 List Paragraph Char,List Paragraph1 Char,List Paragraph Char Char Char Char,Indicator Text Char,Numbered Para 1 Char,Bullet 1 Char,normal Char"/>
    <w:link w:val="ListParagraph"/>
    <w:uiPriority w:val="34"/>
    <w:qFormat/>
    <w:locked/>
    <w:rsid w:val="00017641"/>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6377399">
      <w:bodyDiv w:val="1"/>
      <w:marLeft w:val="0"/>
      <w:marRight w:val="0"/>
      <w:marTop w:val="0"/>
      <w:marBottom w:val="0"/>
      <w:divBdr>
        <w:top w:val="none" w:sz="0" w:space="0" w:color="auto"/>
        <w:left w:val="none" w:sz="0" w:space="0" w:color="auto"/>
        <w:bottom w:val="none" w:sz="0" w:space="0" w:color="auto"/>
        <w:right w:val="none" w:sz="0" w:space="0" w:color="auto"/>
      </w:divBdr>
      <w:divsChild>
        <w:div w:id="631667499">
          <w:marLeft w:val="0"/>
          <w:marRight w:val="0"/>
          <w:marTop w:val="0"/>
          <w:marBottom w:val="0"/>
          <w:divBdr>
            <w:top w:val="none" w:sz="0" w:space="0" w:color="auto"/>
            <w:left w:val="none" w:sz="0" w:space="0" w:color="auto"/>
            <w:bottom w:val="none" w:sz="0" w:space="0" w:color="auto"/>
            <w:right w:val="none" w:sz="0" w:space="0" w:color="auto"/>
          </w:divBdr>
          <w:divsChild>
            <w:div w:id="866522768">
              <w:marLeft w:val="0"/>
              <w:marRight w:val="0"/>
              <w:marTop w:val="0"/>
              <w:marBottom w:val="0"/>
              <w:divBdr>
                <w:top w:val="none" w:sz="0" w:space="0" w:color="auto"/>
                <w:left w:val="none" w:sz="0" w:space="0" w:color="auto"/>
                <w:bottom w:val="none" w:sz="0" w:space="0" w:color="auto"/>
                <w:right w:val="none" w:sz="0" w:space="0" w:color="auto"/>
              </w:divBdr>
              <w:divsChild>
                <w:div w:id="1469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931126">
      <w:bodyDiv w:val="1"/>
      <w:marLeft w:val="0"/>
      <w:marRight w:val="0"/>
      <w:marTop w:val="0"/>
      <w:marBottom w:val="0"/>
      <w:divBdr>
        <w:top w:val="none" w:sz="0" w:space="0" w:color="auto"/>
        <w:left w:val="none" w:sz="0" w:space="0" w:color="auto"/>
        <w:bottom w:val="none" w:sz="0" w:space="0" w:color="auto"/>
        <w:right w:val="none" w:sz="0" w:space="0" w:color="auto"/>
      </w:divBdr>
      <w:divsChild>
        <w:div w:id="223838013">
          <w:marLeft w:val="0"/>
          <w:marRight w:val="0"/>
          <w:marTop w:val="0"/>
          <w:marBottom w:val="0"/>
          <w:divBdr>
            <w:top w:val="none" w:sz="0" w:space="0" w:color="auto"/>
            <w:left w:val="none" w:sz="0" w:space="0" w:color="auto"/>
            <w:bottom w:val="none" w:sz="0" w:space="0" w:color="auto"/>
            <w:right w:val="none" w:sz="0" w:space="0" w:color="auto"/>
          </w:divBdr>
          <w:divsChild>
            <w:div w:id="1231580792">
              <w:marLeft w:val="0"/>
              <w:marRight w:val="0"/>
              <w:marTop w:val="0"/>
              <w:marBottom w:val="0"/>
              <w:divBdr>
                <w:top w:val="none" w:sz="0" w:space="0" w:color="auto"/>
                <w:left w:val="none" w:sz="0" w:space="0" w:color="auto"/>
                <w:bottom w:val="none" w:sz="0" w:space="0" w:color="auto"/>
                <w:right w:val="none" w:sz="0" w:space="0" w:color="auto"/>
              </w:divBdr>
              <w:divsChild>
                <w:div w:id="149202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Pages>
  <Words>575</Words>
  <Characters>3282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olafsottir</dc:creator>
  <cp:keywords/>
  <dc:description/>
  <cp:lastModifiedBy>lenovo</cp:lastModifiedBy>
  <cp:revision>17</cp:revision>
  <dcterms:created xsi:type="dcterms:W3CDTF">2021-12-04T11:52:00Z</dcterms:created>
  <dcterms:modified xsi:type="dcterms:W3CDTF">2021-12-08T10:16:00Z</dcterms:modified>
</cp:coreProperties>
</file>