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91E33" w14:textId="77777777" w:rsidR="008C4632" w:rsidRDefault="00000000">
      <w:pPr>
        <w:rPr>
          <w:rFonts w:ascii="Play" w:eastAsia="Play" w:hAnsi="Play" w:cs="Play"/>
          <w:sz w:val="24"/>
          <w:szCs w:val="24"/>
        </w:rPr>
      </w:pPr>
      <w:r>
        <w:rPr>
          <w:noProof/>
        </w:rPr>
        <w:drawing>
          <wp:anchor distT="0" distB="0" distL="114300" distR="114300" simplePos="0" relativeHeight="251658240" behindDoc="0" locked="0" layoutInCell="1" hidden="0" allowOverlap="1" wp14:anchorId="1026D253" wp14:editId="3C5F66E3">
            <wp:simplePos x="0" y="0"/>
            <wp:positionH relativeFrom="column">
              <wp:posOffset>2298499</wp:posOffset>
            </wp:positionH>
            <wp:positionV relativeFrom="paragraph">
              <wp:posOffset>-817879</wp:posOffset>
            </wp:positionV>
            <wp:extent cx="1318661" cy="801799"/>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318661" cy="801799"/>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32FAD6CD" wp14:editId="5C0F431F">
                <wp:simplePos x="0" y="0"/>
                <wp:positionH relativeFrom="column">
                  <wp:posOffset>-790574</wp:posOffset>
                </wp:positionH>
                <wp:positionV relativeFrom="paragraph">
                  <wp:posOffset>-799464</wp:posOffset>
                </wp:positionV>
                <wp:extent cx="2228850" cy="8763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228850" cy="876300"/>
                        </a:xfrm>
                        <a:prstGeom prst="rect">
                          <a:avLst/>
                        </a:prstGeom>
                      </wps:spPr>
                      <wps:txbx>
                        <w:txbxContent>
                          <w:p w14:paraId="76960F88" w14:textId="77777777" w:rsidR="00000000" w:rsidRPr="005B4AE7" w:rsidRDefault="00000000" w:rsidP="002A150B">
                            <w:pPr>
                              <w:spacing w:after="0"/>
                              <w:jc w:val="center"/>
                              <w:rPr>
                                <w:sz w:val="6"/>
                              </w:rPr>
                            </w:pPr>
                            <w:r w:rsidRPr="005B4AE7">
                              <w:rPr>
                                <w:color w:val="000000"/>
                                <w:szCs w:val="72"/>
                                <w14:textOutline w14:w="9525" w14:cap="flat" w14:cmpd="sng" w14:algn="ctr">
                                  <w14:solidFill>
                                    <w14:srgbClr w14:val="000000"/>
                                  </w14:solidFill>
                                  <w14:prstDash w14:val="solid"/>
                                  <w14:round/>
                                </w14:textOutline>
                              </w:rPr>
                              <w:t xml:space="preserve">DOWLAD JUBALAND </w:t>
                            </w:r>
                          </w:p>
                          <w:p w14:paraId="75DEC4DF" w14:textId="77777777" w:rsidR="00000000" w:rsidRPr="005B4AE7" w:rsidRDefault="00000000" w:rsidP="002A150B">
                            <w:pPr>
                              <w:spacing w:after="0"/>
                              <w:jc w:val="center"/>
                              <w:rPr>
                                <w:sz w:val="6"/>
                              </w:rPr>
                            </w:pPr>
                            <w:r w:rsidRPr="005B4AE7">
                              <w:rPr>
                                <w:color w:val="000000"/>
                                <w:szCs w:val="72"/>
                                <w14:textOutline w14:w="9525" w14:cap="flat" w14:cmpd="sng" w14:algn="ctr">
                                  <w14:solidFill>
                                    <w14:srgbClr w14:val="000000"/>
                                  </w14:solidFill>
                                  <w14:prstDash w14:val="solid"/>
                                  <w14:round/>
                                </w14:textOutline>
                              </w:rPr>
                              <w:t>EE SOOMAALIYA</w:t>
                            </w:r>
                          </w:p>
                          <w:p w14:paraId="7E339193" w14:textId="77777777" w:rsidR="00000000" w:rsidRPr="005B4AE7" w:rsidRDefault="00000000" w:rsidP="002A150B">
                            <w:pPr>
                              <w:spacing w:after="0"/>
                              <w:jc w:val="center"/>
                              <w:rPr>
                                <w:sz w:val="6"/>
                              </w:rPr>
                            </w:pPr>
                            <w:r w:rsidRPr="005B4AE7">
                              <w:rPr>
                                <w:color w:val="000000"/>
                                <w:szCs w:val="72"/>
                                <w14:textOutline w14:w="9525" w14:cap="flat" w14:cmpd="sng" w14:algn="ctr">
                                  <w14:solidFill>
                                    <w14:srgbClr w14:val="000000"/>
                                  </w14:solidFill>
                                  <w14:prstDash w14:val="solid"/>
                                  <w14:round/>
                                </w14:textOutline>
                              </w:rPr>
                              <w:t>WASAARADA TAMARTA</w:t>
                            </w:r>
                          </w:p>
                          <w:p w14:paraId="1B64AA44" w14:textId="77777777" w:rsidR="00000000" w:rsidRPr="005B4AE7" w:rsidRDefault="00000000" w:rsidP="002A150B">
                            <w:pPr>
                              <w:spacing w:after="0"/>
                              <w:jc w:val="center"/>
                              <w:rPr>
                                <w:sz w:val="6"/>
                              </w:rPr>
                            </w:pPr>
                            <w:r w:rsidRPr="005B4AE7">
                              <w:rPr>
                                <w:color w:val="000000"/>
                                <w:szCs w:val="72"/>
                                <w14:textOutline w14:w="9525" w14:cap="flat" w14:cmpd="sng" w14:algn="ctr">
                                  <w14:solidFill>
                                    <w14:srgbClr w14:val="000000"/>
                                  </w14:solidFill>
                                  <w14:prstDash w14:val="solid"/>
                                  <w14:round/>
                                </w14:textOutline>
                              </w:rPr>
                              <w:t>&amp; KHAYRAADKA BIYAHA</w:t>
                            </w:r>
                          </w:p>
                        </w:txbxContent>
                      </wps:txbx>
                      <wps:bodyPr wrap="square" numCol="1" fromWordArt="1">
                        <a:prstTxWarp prst="textPlain">
                          <a:avLst>
                            <a:gd name="adj" fmla="val 50000"/>
                          </a:avLst>
                        </a:prstTxWarp>
                        <a:noAutofit/>
                      </wps:bodyPr>
                    </wps:wsp>
                  </a:graphicData>
                </a:graphic>
              </wp:anchor>
            </w:drawing>
          </mc:Choice>
          <mc:Fallback>
            <w:pict>
              <v:shapetype w14:anchorId="32FAD6CD" id="_x0000_t202" coordsize="21600,21600" o:spt="202" path="m,l,21600r21600,l21600,xe">
                <v:stroke joinstyle="miter"/>
                <v:path gradientshapeok="t" o:connecttype="rect"/>
              </v:shapetype>
              <v:shape id="Text Box 2" o:spid="_x0000_s1026" type="#_x0000_t202" style="position:absolute;margin-left:-62.25pt;margin-top:-62.95pt;width:175.5pt;height:6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" filled="f" stroked="f">
                <o:lock v:ext="edit" shapetype="t"/>
                <v:textbox>
                  <w:txbxContent>
                    <w:p w14:paraId="76960F88" w14:textId="77777777" w:rsidR="00000000" w:rsidRPr="005B4AE7" w:rsidRDefault="00000000" w:rsidP="002A150B">
                      <w:pPr>
                        <w:spacing w:after="0"/>
                        <w:jc w:val="center"/>
                        <w:rPr>
                          <w:sz w:val="6"/>
                        </w:rPr>
                      </w:pPr>
                      <w:r w:rsidRPr="005B4AE7">
                        <w:rPr>
                          <w:color w:val="000000"/>
                          <w:szCs w:val="72"/>
                          <w14:textOutline w14:w="9525" w14:cap="flat" w14:cmpd="sng" w14:algn="ctr">
                            <w14:solidFill>
                              <w14:srgbClr w14:val="000000"/>
                            </w14:solidFill>
                            <w14:prstDash w14:val="solid"/>
                            <w14:round/>
                          </w14:textOutline>
                        </w:rPr>
                        <w:t xml:space="preserve">DOWLAD JUBALAND </w:t>
                      </w:r>
                    </w:p>
                    <w:p w14:paraId="75DEC4DF" w14:textId="77777777" w:rsidR="00000000" w:rsidRPr="005B4AE7" w:rsidRDefault="00000000" w:rsidP="002A150B">
                      <w:pPr>
                        <w:spacing w:after="0"/>
                        <w:jc w:val="center"/>
                        <w:rPr>
                          <w:sz w:val="6"/>
                        </w:rPr>
                      </w:pPr>
                      <w:r w:rsidRPr="005B4AE7">
                        <w:rPr>
                          <w:color w:val="000000"/>
                          <w:szCs w:val="72"/>
                          <w14:textOutline w14:w="9525" w14:cap="flat" w14:cmpd="sng" w14:algn="ctr">
                            <w14:solidFill>
                              <w14:srgbClr w14:val="000000"/>
                            </w14:solidFill>
                            <w14:prstDash w14:val="solid"/>
                            <w14:round/>
                          </w14:textOutline>
                        </w:rPr>
                        <w:t>EE SOOMAALIYA</w:t>
                      </w:r>
                    </w:p>
                    <w:p w14:paraId="7E339193" w14:textId="77777777" w:rsidR="00000000" w:rsidRPr="005B4AE7" w:rsidRDefault="00000000" w:rsidP="002A150B">
                      <w:pPr>
                        <w:spacing w:after="0"/>
                        <w:jc w:val="center"/>
                        <w:rPr>
                          <w:sz w:val="6"/>
                        </w:rPr>
                      </w:pPr>
                      <w:r w:rsidRPr="005B4AE7">
                        <w:rPr>
                          <w:color w:val="000000"/>
                          <w:szCs w:val="72"/>
                          <w14:textOutline w14:w="9525" w14:cap="flat" w14:cmpd="sng" w14:algn="ctr">
                            <w14:solidFill>
                              <w14:srgbClr w14:val="000000"/>
                            </w14:solidFill>
                            <w14:prstDash w14:val="solid"/>
                            <w14:round/>
                          </w14:textOutline>
                        </w:rPr>
                        <w:t>WASAARADA TAMARTA</w:t>
                      </w:r>
                    </w:p>
                    <w:p w14:paraId="1B64AA44" w14:textId="77777777" w:rsidR="00000000" w:rsidRPr="005B4AE7" w:rsidRDefault="00000000" w:rsidP="002A150B">
                      <w:pPr>
                        <w:spacing w:after="0"/>
                        <w:jc w:val="center"/>
                        <w:rPr>
                          <w:sz w:val="6"/>
                        </w:rPr>
                      </w:pPr>
                      <w:r w:rsidRPr="005B4AE7">
                        <w:rPr>
                          <w:color w:val="000000"/>
                          <w:szCs w:val="72"/>
                          <w14:textOutline w14:w="9525" w14:cap="flat" w14:cmpd="sng" w14:algn="ctr">
                            <w14:solidFill>
                              <w14:srgbClr w14:val="000000"/>
                            </w14:solidFill>
                            <w14:prstDash w14:val="solid"/>
                            <w14:round/>
                          </w14:textOutline>
                        </w:rPr>
                        <w:t>&amp; KHAYRAADKA BIYAHA</w:t>
                      </w:r>
                    </w:p>
                  </w:txbxContent>
                </v:textbox>
              </v:shape>
            </w:pict>
          </mc:Fallback>
        </mc:AlternateContent>
      </w:r>
      <w:r>
        <w:rPr>
          <w:noProof/>
        </w:rPr>
        <mc:AlternateContent>
          <mc:Choice Requires="wps">
            <w:drawing>
              <wp:anchor distT="0" distB="0" distL="114300" distR="114300" simplePos="0" relativeHeight="251660288" behindDoc="0" locked="0" layoutInCell="1" hidden="0" allowOverlap="1" wp14:anchorId="508EF57F" wp14:editId="176CDEEF">
                <wp:simplePos x="0" y="0"/>
                <wp:positionH relativeFrom="column">
                  <wp:posOffset>3855110</wp:posOffset>
                </wp:positionH>
                <wp:positionV relativeFrom="paragraph">
                  <wp:posOffset>-782725</wp:posOffset>
                </wp:positionV>
                <wp:extent cx="2669209" cy="78272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669209" cy="782726"/>
                        </a:xfrm>
                        <a:prstGeom prst="rect">
                          <a:avLst/>
                        </a:prstGeom>
                      </wps:spPr>
                      <wps:txbx>
                        <w:txbxContent>
                          <w:p w14:paraId="05EF9489" w14:textId="77777777" w:rsidR="00000000" w:rsidRPr="005B4AE7" w:rsidRDefault="00000000" w:rsidP="002A150B">
                            <w:pPr>
                              <w:spacing w:after="0"/>
                              <w:jc w:val="center"/>
                              <w:rPr>
                                <w:sz w:val="2"/>
                              </w:rPr>
                            </w:pPr>
                            <w:r w:rsidRPr="005B4AE7">
                              <w:rPr>
                                <w:color w:val="000000"/>
                                <w:sz w:val="16"/>
                                <w:szCs w:val="72"/>
                                <w14:textOutline w14:w="9525" w14:cap="flat" w14:cmpd="sng" w14:algn="ctr">
                                  <w14:solidFill>
                                    <w14:srgbClr w14:val="000000"/>
                                  </w14:solidFill>
                                  <w14:prstDash w14:val="solid"/>
                                  <w14:round/>
                                </w14:textOutline>
                              </w:rPr>
                              <w:t>JUBALAND STATE OF SOMALIA</w:t>
                            </w:r>
                          </w:p>
                          <w:p w14:paraId="53220889" w14:textId="77777777" w:rsidR="00000000" w:rsidRPr="005B4AE7" w:rsidRDefault="00000000" w:rsidP="002A150B">
                            <w:pPr>
                              <w:spacing w:after="0"/>
                              <w:jc w:val="center"/>
                              <w:rPr>
                                <w:sz w:val="2"/>
                              </w:rPr>
                            </w:pPr>
                            <w:r w:rsidRPr="005B4AE7">
                              <w:rPr>
                                <w:color w:val="000000"/>
                                <w:sz w:val="16"/>
                                <w:szCs w:val="72"/>
                                <w14:textOutline w14:w="9525" w14:cap="flat" w14:cmpd="sng" w14:algn="ctr">
                                  <w14:solidFill>
                                    <w14:srgbClr w14:val="000000"/>
                                  </w14:solidFill>
                                  <w14:prstDash w14:val="solid"/>
                                  <w14:round/>
                                </w14:textOutline>
                              </w:rPr>
                              <w:t>MINISTRY OF ENERGY &amp; WATER RESOURCE</w:t>
                            </w:r>
                          </w:p>
                          <w:p w14:paraId="5BAE5585" w14:textId="77777777" w:rsidR="00000000" w:rsidRPr="005B4AE7" w:rsidRDefault="00000000" w:rsidP="002A150B">
                            <w:pPr>
                              <w:spacing w:after="0"/>
                              <w:jc w:val="center"/>
                              <w:rPr>
                                <w:sz w:val="2"/>
                              </w:rPr>
                            </w:pPr>
                          </w:p>
                        </w:txbxContent>
                      </wps:txbx>
                      <wps:bodyPr wrap="square" numCol="1" fromWordArt="1">
                        <a:prstTxWarp prst="textPlain">
                          <a:avLst>
                            <a:gd name="adj" fmla="val 50000"/>
                          </a:avLst>
                        </a:prstTxWarp>
                        <a:noAutofit/>
                      </wps:bodyPr>
                    </wps:wsp>
                  </a:graphicData>
                </a:graphic>
              </wp:anchor>
            </w:drawing>
          </mc:Choice>
          <mc:Fallback>
            <w:pict>
              <v:shape w14:anchorId="508EF57F" id="Text Box 1" o:spid="_x0000_s1027" type="#_x0000_t202" style="position:absolute;margin-left:303.55pt;margin-top:-61.65pt;width:210.15pt;height:61.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" filled="f" stroked="f">
                <o:lock v:ext="edit" shapetype="t"/>
                <v:textbox>
                  <w:txbxContent>
                    <w:p w14:paraId="05EF9489" w14:textId="77777777" w:rsidR="00000000" w:rsidRPr="005B4AE7" w:rsidRDefault="00000000" w:rsidP="002A150B">
                      <w:pPr>
                        <w:spacing w:after="0"/>
                        <w:jc w:val="center"/>
                        <w:rPr>
                          <w:sz w:val="2"/>
                        </w:rPr>
                      </w:pPr>
                      <w:r w:rsidRPr="005B4AE7">
                        <w:rPr>
                          <w:color w:val="000000"/>
                          <w:sz w:val="16"/>
                          <w:szCs w:val="72"/>
                          <w14:textOutline w14:w="9525" w14:cap="flat" w14:cmpd="sng" w14:algn="ctr">
                            <w14:solidFill>
                              <w14:srgbClr w14:val="000000"/>
                            </w14:solidFill>
                            <w14:prstDash w14:val="solid"/>
                            <w14:round/>
                          </w14:textOutline>
                        </w:rPr>
                        <w:t>JUBALAND STATE OF SOMALIA</w:t>
                      </w:r>
                    </w:p>
                    <w:p w14:paraId="53220889" w14:textId="77777777" w:rsidR="00000000" w:rsidRPr="005B4AE7" w:rsidRDefault="00000000" w:rsidP="002A150B">
                      <w:pPr>
                        <w:spacing w:after="0"/>
                        <w:jc w:val="center"/>
                        <w:rPr>
                          <w:sz w:val="2"/>
                        </w:rPr>
                      </w:pPr>
                      <w:r w:rsidRPr="005B4AE7">
                        <w:rPr>
                          <w:color w:val="000000"/>
                          <w:sz w:val="16"/>
                          <w:szCs w:val="72"/>
                          <w14:textOutline w14:w="9525" w14:cap="flat" w14:cmpd="sng" w14:algn="ctr">
                            <w14:solidFill>
                              <w14:srgbClr w14:val="000000"/>
                            </w14:solidFill>
                            <w14:prstDash w14:val="solid"/>
                            <w14:round/>
                          </w14:textOutline>
                        </w:rPr>
                        <w:t>MINISTRY OF ENERGY &amp; WATER RESOURCE</w:t>
                      </w:r>
                    </w:p>
                    <w:p w14:paraId="5BAE5585" w14:textId="77777777" w:rsidR="00000000" w:rsidRPr="005B4AE7" w:rsidRDefault="00000000" w:rsidP="002A150B">
                      <w:pPr>
                        <w:spacing w:after="0"/>
                        <w:jc w:val="center"/>
                        <w:rPr>
                          <w:sz w:val="2"/>
                        </w:rPr>
                      </w:pPr>
                    </w:p>
                  </w:txbxContent>
                </v:textbox>
              </v:shape>
            </w:pict>
          </mc:Fallback>
        </mc:AlternateContent>
      </w:r>
    </w:p>
    <w:p w14:paraId="66088555" w14:textId="77777777" w:rsidR="008C4632" w:rsidRDefault="00000000">
      <w:pPr>
        <w:spacing w:line="276" w:lineRule="auto"/>
        <w:jc w:val="center"/>
        <w:rPr>
          <w:b/>
          <w:bCs/>
          <w:sz w:val="20"/>
          <w:szCs w:val="20"/>
        </w:rPr>
      </w:pPr>
      <w:r>
        <w:rPr>
          <w:b/>
          <w:bCs/>
          <w:sz w:val="20"/>
          <w:szCs w:val="20"/>
        </w:rPr>
        <w:t>TOR FOR ENGAGING MFI</w:t>
      </w:r>
    </w:p>
    <w:p w14:paraId="6FF002FD" w14:textId="77777777" w:rsidR="008C4632" w:rsidRDefault="00000000">
      <w:pPr>
        <w:spacing w:line="276" w:lineRule="auto"/>
        <w:jc w:val="center"/>
        <w:rPr>
          <w:b/>
          <w:bCs/>
          <w:sz w:val="20"/>
          <w:szCs w:val="20"/>
        </w:rPr>
      </w:pPr>
      <w:r>
        <w:rPr>
          <w:b/>
          <w:bCs/>
          <w:sz w:val="20"/>
          <w:szCs w:val="20"/>
        </w:rPr>
        <w:t>WASH FINANCING AND TRANSFORMATION (WASH-FIT) INITIATIVE</w:t>
      </w:r>
    </w:p>
    <w:tbl>
      <w:tblPr>
        <w:tblStyle w:val="a"/>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8C4632" w14:paraId="3D90B162" w14:textId="77777777">
        <w:tc>
          <w:tcPr>
            <w:tcW w:w="9016" w:type="dxa"/>
          </w:tcPr>
          <w:p w14:paraId="65AFA070" w14:textId="77777777" w:rsidR="008C4632" w:rsidRDefault="00000000">
            <w:pPr>
              <w:spacing w:line="276" w:lineRule="auto"/>
              <w:jc w:val="both"/>
              <w:rPr>
                <w:sz w:val="20"/>
                <w:szCs w:val="20"/>
              </w:rPr>
            </w:pPr>
            <w:r>
              <w:rPr>
                <w:b/>
                <w:bCs/>
                <w:sz w:val="20"/>
                <w:szCs w:val="20"/>
              </w:rPr>
              <w:t>1. Background</w:t>
            </w:r>
          </w:p>
          <w:p w14:paraId="1DAAE4B2" w14:textId="77777777" w:rsidR="008C4632" w:rsidRDefault="00000000">
            <w:pPr>
              <w:shd w:val="clear" w:color="auto" w:fill="FFFFFF"/>
              <w:jc w:val="both"/>
              <w:rPr>
                <w:sz w:val="20"/>
                <w:szCs w:val="20"/>
              </w:rPr>
            </w:pPr>
            <w:r>
              <w:rPr>
                <w:color w:val="000000"/>
                <w:sz w:val="20"/>
                <w:szCs w:val="20"/>
              </w:rPr>
              <w:t xml:space="preserve">Current WASH service delivery in </w:t>
            </w:r>
            <w:proofErr w:type="spellStart"/>
            <w:r>
              <w:rPr>
                <w:color w:val="000000"/>
                <w:sz w:val="20"/>
                <w:szCs w:val="20"/>
              </w:rPr>
              <w:t>Jubaland</w:t>
            </w:r>
            <w:proofErr w:type="spellEnd"/>
            <w:r>
              <w:rPr>
                <w:color w:val="000000"/>
                <w:sz w:val="20"/>
                <w:szCs w:val="20"/>
              </w:rPr>
              <w:t xml:space="preserve"> is shaped by persistent affordability, infrastructure and financing constraints, alongside rapid </w:t>
            </w:r>
            <w:proofErr w:type="spellStart"/>
            <w:r>
              <w:rPr>
                <w:color w:val="000000"/>
                <w:sz w:val="20"/>
                <w:szCs w:val="20"/>
              </w:rPr>
              <w:t>urbanisation</w:t>
            </w:r>
            <w:proofErr w:type="spellEnd"/>
            <w:r>
              <w:rPr>
                <w:color w:val="000000"/>
                <w:sz w:val="20"/>
                <w:szCs w:val="20"/>
              </w:rPr>
              <w:t>, population growth, displacement and recurrent climate shocks. These pressures have increased demand for reliable water and sanitation services while household capacity to absorb the upfront costs of service connections remains constrained. The sector consequently continues to depend substantially on donor financing and private-sector service provision, while investment needs remain significant.</w:t>
            </w:r>
          </w:p>
          <w:p w14:paraId="40144BBE" w14:textId="77777777" w:rsidR="008C4632" w:rsidRDefault="008C4632">
            <w:pPr>
              <w:shd w:val="clear" w:color="auto" w:fill="FFFFFF"/>
              <w:jc w:val="both"/>
              <w:rPr>
                <w:color w:val="000000"/>
                <w:sz w:val="20"/>
                <w:szCs w:val="20"/>
              </w:rPr>
            </w:pPr>
          </w:p>
          <w:p w14:paraId="65AA9203" w14:textId="77777777" w:rsidR="008C4632" w:rsidRDefault="00000000">
            <w:pPr>
              <w:shd w:val="clear" w:color="auto" w:fill="FFFFFF"/>
              <w:jc w:val="both"/>
              <w:rPr>
                <w:sz w:val="20"/>
                <w:szCs w:val="20"/>
              </w:rPr>
            </w:pPr>
            <w:r>
              <w:rPr>
                <w:color w:val="000000"/>
                <w:sz w:val="20"/>
                <w:szCs w:val="20"/>
              </w:rPr>
              <w:t xml:space="preserve">Recent household evidence from </w:t>
            </w:r>
            <w:proofErr w:type="spellStart"/>
            <w:r>
              <w:rPr>
                <w:color w:val="000000"/>
                <w:sz w:val="20"/>
                <w:szCs w:val="20"/>
              </w:rPr>
              <w:t>Dollow</w:t>
            </w:r>
            <w:proofErr w:type="spellEnd"/>
            <w:r>
              <w:rPr>
                <w:color w:val="000000"/>
                <w:sz w:val="20"/>
                <w:szCs w:val="20"/>
              </w:rPr>
              <w:t xml:space="preserve"> provides a more specific basis for understanding these challenges and for targeting the WASH-FIT intervention. </w:t>
            </w:r>
            <w:r>
              <w:rPr>
                <w:sz w:val="20"/>
                <w:szCs w:val="20"/>
              </w:rPr>
              <w:t xml:space="preserve"> Water in </w:t>
            </w:r>
            <w:proofErr w:type="spellStart"/>
            <w:r>
              <w:rPr>
                <w:color w:val="000000"/>
                <w:sz w:val="20"/>
                <w:szCs w:val="20"/>
              </w:rPr>
              <w:t>Dollow</w:t>
            </w:r>
            <w:proofErr w:type="spellEnd"/>
            <w:r>
              <w:rPr>
                <w:sz w:val="20"/>
                <w:szCs w:val="20"/>
              </w:rPr>
              <w:t xml:space="preserve"> is delivered through boreholes, shallow wells, piped distribution networks, communal water points and household connections, with the </w:t>
            </w:r>
            <w:proofErr w:type="spellStart"/>
            <w:r>
              <w:rPr>
                <w:color w:val="000000"/>
                <w:sz w:val="20"/>
                <w:szCs w:val="20"/>
              </w:rPr>
              <w:t>Dollow</w:t>
            </w:r>
            <w:proofErr w:type="spellEnd"/>
            <w:r>
              <w:rPr>
                <w:sz w:val="20"/>
                <w:szCs w:val="20"/>
              </w:rPr>
              <w:t xml:space="preserve"> Water Management Company operating the local water system under a public-private partnership arrangement. Assessments indicate that piped water already plays an important role in IDP settlements: approximately </w:t>
            </w:r>
            <w:r>
              <w:rPr>
                <w:b/>
                <w:bCs/>
                <w:sz w:val="20"/>
                <w:szCs w:val="20"/>
              </w:rPr>
              <w:t>40%</w:t>
            </w:r>
            <w:r>
              <w:rPr>
                <w:sz w:val="20"/>
                <w:szCs w:val="20"/>
              </w:rPr>
              <w:t xml:space="preserve"> of surveyed households reported accessing piped water directly in their dwellings and about </w:t>
            </w:r>
            <w:r>
              <w:rPr>
                <w:b/>
                <w:bCs/>
                <w:sz w:val="20"/>
                <w:szCs w:val="20"/>
              </w:rPr>
              <w:t>42%</w:t>
            </w:r>
            <w:r>
              <w:rPr>
                <w:sz w:val="20"/>
                <w:szCs w:val="20"/>
              </w:rPr>
              <w:t xml:space="preserve"> reported piped water to their plots. However, </w:t>
            </w:r>
            <w:r>
              <w:rPr>
                <w:b/>
                <w:bCs/>
                <w:sz w:val="20"/>
                <w:szCs w:val="20"/>
              </w:rPr>
              <w:t>40%</w:t>
            </w:r>
            <w:r>
              <w:rPr>
                <w:sz w:val="20"/>
                <w:szCs w:val="20"/>
              </w:rPr>
              <w:t xml:space="preserve"> of surveyed households indicated that available water supply was inadequate to meet their needs, demonstrating that physical network access does not necessarily ensure adequate or reliable service.</w:t>
            </w:r>
          </w:p>
          <w:p w14:paraId="5BB05CB2" w14:textId="77777777" w:rsidR="008C4632" w:rsidRDefault="008C4632">
            <w:pPr>
              <w:shd w:val="clear" w:color="auto" w:fill="FFFFFF"/>
              <w:jc w:val="both"/>
              <w:rPr>
                <w:color w:val="000000"/>
                <w:sz w:val="20"/>
                <w:szCs w:val="20"/>
              </w:rPr>
            </w:pPr>
          </w:p>
          <w:p w14:paraId="17E1102D" w14:textId="77777777" w:rsidR="008C4632" w:rsidRDefault="00000000">
            <w:pPr>
              <w:shd w:val="clear" w:color="auto" w:fill="FFFFFF"/>
              <w:jc w:val="both"/>
              <w:rPr>
                <w:sz w:val="20"/>
                <w:szCs w:val="20"/>
              </w:rPr>
            </w:pPr>
            <w:r>
              <w:rPr>
                <w:sz w:val="20"/>
                <w:szCs w:val="20"/>
              </w:rPr>
              <w:t xml:space="preserve">Socio-economic vulnerability further strengthens the case for targeted household connection support. </w:t>
            </w:r>
          </w:p>
          <w:p w14:paraId="30365D53" w14:textId="77777777" w:rsidR="008C4632" w:rsidRDefault="00000000">
            <w:pPr>
              <w:spacing w:after="160" w:line="276" w:lineRule="auto"/>
              <w:jc w:val="both"/>
              <w:rPr>
                <w:sz w:val="20"/>
                <w:szCs w:val="20"/>
              </w:rPr>
            </w:pPr>
            <w:r>
              <w:rPr>
                <w:sz w:val="20"/>
                <w:szCs w:val="20"/>
              </w:rPr>
              <w:t xml:space="preserve">Against this background, a pro-poor household water-connection financing mechanism could help eligible low-income households near the piped network meet upfront connection costs through affordable financing. The intervention would expand formal household connections, improve reliable access to safe water, reduce dependence on communal sources and strengthen the customer base and financial sustainability of the local water utility. </w:t>
            </w:r>
            <w:r>
              <w:rPr>
                <w:color w:val="000000"/>
                <w:sz w:val="20"/>
                <w:szCs w:val="20"/>
              </w:rPr>
              <w:t>At its core, the model will establish a revolving loan facility implemented through a selected Microfinance Institution (MFI), with catalytic financial support from UNICEF and UNCDF. Eligible households will be able to access affordable and flexible financing for household water connections, with repayment arrangements designed to be manageable and, where feasible, integrated into utility billing systems.</w:t>
            </w:r>
          </w:p>
          <w:p w14:paraId="30A6FDDD" w14:textId="77777777" w:rsidR="008C4632" w:rsidRDefault="00000000">
            <w:pPr>
              <w:shd w:val="clear" w:color="auto" w:fill="FFFFFF"/>
              <w:jc w:val="both"/>
              <w:rPr>
                <w:sz w:val="20"/>
                <w:szCs w:val="20"/>
              </w:rPr>
            </w:pPr>
            <w:r>
              <w:rPr>
                <w:color w:val="000000"/>
                <w:sz w:val="20"/>
                <w:szCs w:val="20"/>
              </w:rPr>
              <w:t xml:space="preserve">The model will operate through close coordination among the MFI, the </w:t>
            </w:r>
            <w:proofErr w:type="spellStart"/>
            <w:r>
              <w:rPr>
                <w:color w:val="000000"/>
                <w:sz w:val="20"/>
                <w:szCs w:val="20"/>
              </w:rPr>
              <w:t>Dollow</w:t>
            </w:r>
            <w:proofErr w:type="spellEnd"/>
            <w:r>
              <w:rPr>
                <w:color w:val="000000"/>
                <w:sz w:val="20"/>
                <w:szCs w:val="20"/>
              </w:rPr>
              <w:t xml:space="preserve"> Water Management Company, the Ministry of Energy and Water Resources and other relevant partners, ensuring that household financing is directly linked to actual service delivery. </w:t>
            </w:r>
            <w:r>
              <w:rPr>
                <w:sz w:val="20"/>
                <w:szCs w:val="20"/>
              </w:rPr>
              <w:t xml:space="preserve"> </w:t>
            </w:r>
            <w:proofErr w:type="spellStart"/>
            <w:r>
              <w:rPr>
                <w:sz w:val="20"/>
                <w:szCs w:val="20"/>
              </w:rPr>
              <w:t>Dollow</w:t>
            </w:r>
            <w:proofErr w:type="spellEnd"/>
            <w:r>
              <w:rPr>
                <w:color w:val="000000"/>
                <w:sz w:val="20"/>
                <w:szCs w:val="20"/>
              </w:rPr>
              <w:t xml:space="preserve"> is an appropriate pilot location because household evidence demonstrates both a continuing gap in piped-water access and the need for solutions that address affordability alongside infrastructure. The model will </w:t>
            </w:r>
            <w:proofErr w:type="spellStart"/>
            <w:r>
              <w:rPr>
                <w:color w:val="000000"/>
                <w:sz w:val="20"/>
                <w:szCs w:val="20"/>
              </w:rPr>
              <w:t>prioritise</w:t>
            </w:r>
            <w:proofErr w:type="spellEnd"/>
            <w:r>
              <w:rPr>
                <w:color w:val="000000"/>
                <w:sz w:val="20"/>
                <w:szCs w:val="20"/>
              </w:rPr>
              <w:t xml:space="preserve"> low-income and underserved households, for whom the upfront cost of connection may otherwise prevent access to safer and more reliable piped-water services.</w:t>
            </w:r>
          </w:p>
          <w:p w14:paraId="1165D06B" w14:textId="77777777" w:rsidR="008C4632" w:rsidRDefault="008C4632">
            <w:pPr>
              <w:shd w:val="clear" w:color="auto" w:fill="FFFFFF"/>
              <w:jc w:val="both"/>
              <w:rPr>
                <w:color w:val="000000"/>
                <w:sz w:val="20"/>
                <w:szCs w:val="20"/>
              </w:rPr>
            </w:pPr>
          </w:p>
          <w:p w14:paraId="09F95724" w14:textId="77777777" w:rsidR="008C4632" w:rsidRDefault="00000000">
            <w:pPr>
              <w:shd w:val="clear" w:color="auto" w:fill="FFFFFF"/>
              <w:jc w:val="both"/>
              <w:rPr>
                <w:color w:val="000000"/>
                <w:sz w:val="20"/>
                <w:szCs w:val="20"/>
              </w:rPr>
            </w:pPr>
            <w:r>
              <w:rPr>
                <w:color w:val="000000"/>
                <w:sz w:val="20"/>
                <w:szCs w:val="20"/>
              </w:rPr>
              <w:t xml:space="preserve">Overall, the WASH Social Access Model is intended to demonstrate a practical and scalable approach that combines financial inclusion with sustainable WASH service delivery. By converting catalytic funding into a revolving financing mechanism, recovering repayments and reinvesting them in additional household connections, the initiative seeks to progressively expand access, strengthen the sustainability of service provision and generate evidence on the viability of pro-poor financing for household water connections in </w:t>
            </w:r>
            <w:proofErr w:type="spellStart"/>
            <w:proofErr w:type="gramStart"/>
            <w:r>
              <w:rPr>
                <w:color w:val="000000"/>
                <w:sz w:val="20"/>
                <w:szCs w:val="20"/>
              </w:rPr>
              <w:t>Dollow</w:t>
            </w:r>
            <w:proofErr w:type="spellEnd"/>
            <w:r>
              <w:rPr>
                <w:color w:val="000000"/>
                <w:sz w:val="20"/>
                <w:szCs w:val="20"/>
              </w:rPr>
              <w:t xml:space="preserve"> .</w:t>
            </w:r>
            <w:proofErr w:type="gramEnd"/>
          </w:p>
        </w:tc>
      </w:tr>
      <w:tr w:rsidR="008C4632" w14:paraId="3F1942C4" w14:textId="77777777">
        <w:tc>
          <w:tcPr>
            <w:tcW w:w="9016" w:type="dxa"/>
          </w:tcPr>
          <w:p w14:paraId="72F1C401" w14:textId="77777777" w:rsidR="008C4632" w:rsidRDefault="00000000">
            <w:pPr>
              <w:spacing w:line="276" w:lineRule="auto"/>
              <w:jc w:val="both"/>
              <w:rPr>
                <w:b/>
                <w:bCs/>
                <w:sz w:val="20"/>
                <w:szCs w:val="20"/>
              </w:rPr>
            </w:pPr>
            <w:r>
              <w:rPr>
                <w:b/>
                <w:bCs/>
                <w:sz w:val="20"/>
                <w:szCs w:val="20"/>
              </w:rPr>
              <w:t>2. Objective</w:t>
            </w:r>
          </w:p>
          <w:p w14:paraId="3FF95E8A" w14:textId="77777777" w:rsidR="008C4632" w:rsidRDefault="00000000">
            <w:pPr>
              <w:spacing w:line="276" w:lineRule="auto"/>
              <w:jc w:val="both"/>
              <w:rPr>
                <w:sz w:val="20"/>
                <w:szCs w:val="20"/>
              </w:rPr>
            </w:pPr>
            <w:r>
              <w:rPr>
                <w:sz w:val="20"/>
                <w:szCs w:val="20"/>
              </w:rPr>
              <w:t xml:space="preserve">The overarching objective of the WASH Financing and Transformation (WASH-FIT) initiative is to test and operationalize the Social Access Model to improve inclusive and sustainable access to safe water and sanitation services for low-income households, including internally displaced persons (IDPs). The Model is being piloted in </w:t>
            </w:r>
            <w:proofErr w:type="spellStart"/>
            <w:r>
              <w:rPr>
                <w:sz w:val="20"/>
                <w:szCs w:val="20"/>
              </w:rPr>
              <w:t>Dollow</w:t>
            </w:r>
            <w:proofErr w:type="spellEnd"/>
            <w:r>
              <w:rPr>
                <w:sz w:val="20"/>
                <w:szCs w:val="20"/>
              </w:rPr>
              <w:t xml:space="preserve"> District, </w:t>
            </w:r>
            <w:proofErr w:type="spellStart"/>
            <w:r>
              <w:rPr>
                <w:sz w:val="20"/>
                <w:szCs w:val="20"/>
              </w:rPr>
              <w:t>Jubaland</w:t>
            </w:r>
            <w:proofErr w:type="spellEnd"/>
            <w:r>
              <w:rPr>
                <w:sz w:val="20"/>
                <w:szCs w:val="20"/>
              </w:rPr>
              <w:t>.</w:t>
            </w:r>
          </w:p>
          <w:p w14:paraId="5CAC977E" w14:textId="77777777" w:rsidR="008C4632" w:rsidRDefault="008C4632">
            <w:pPr>
              <w:spacing w:line="276" w:lineRule="auto"/>
              <w:jc w:val="both"/>
              <w:rPr>
                <w:sz w:val="20"/>
                <w:szCs w:val="20"/>
              </w:rPr>
            </w:pPr>
          </w:p>
          <w:p w14:paraId="643CA1ED" w14:textId="77777777" w:rsidR="008C4632" w:rsidRDefault="00000000">
            <w:pPr>
              <w:spacing w:line="276" w:lineRule="auto"/>
              <w:jc w:val="both"/>
              <w:rPr>
                <w:sz w:val="20"/>
                <w:szCs w:val="20"/>
              </w:rPr>
            </w:pPr>
            <w:r>
              <w:rPr>
                <w:sz w:val="20"/>
                <w:szCs w:val="20"/>
              </w:rPr>
              <w:lastRenderedPageBreak/>
              <w:t>Specifically, the Ministry of Energy and Water Resources aims to:</w:t>
            </w:r>
          </w:p>
          <w:p w14:paraId="051CE32F" w14:textId="77777777" w:rsidR="008C4632" w:rsidRDefault="008C4632">
            <w:pPr>
              <w:spacing w:line="276" w:lineRule="auto"/>
              <w:jc w:val="both"/>
              <w:rPr>
                <w:b/>
                <w:bCs/>
                <w:sz w:val="20"/>
                <w:szCs w:val="20"/>
              </w:rPr>
            </w:pPr>
          </w:p>
          <w:p w14:paraId="40442CA2" w14:textId="77777777" w:rsidR="008C4632" w:rsidRDefault="00000000">
            <w:pPr>
              <w:spacing w:line="276" w:lineRule="auto"/>
              <w:jc w:val="both"/>
              <w:rPr>
                <w:b/>
                <w:bCs/>
                <w:sz w:val="20"/>
                <w:szCs w:val="20"/>
              </w:rPr>
            </w:pPr>
            <w:r>
              <w:rPr>
                <w:b/>
                <w:bCs/>
                <w:sz w:val="20"/>
                <w:szCs w:val="20"/>
              </w:rPr>
              <w:t>Pilot a Sustainable Social Access Fund to Expand Inclusive Access to Safe Water Services</w:t>
            </w:r>
          </w:p>
          <w:p w14:paraId="1271234A" w14:textId="77777777" w:rsidR="008C4632" w:rsidRDefault="00000000">
            <w:pPr>
              <w:numPr>
                <w:ilvl w:val="0"/>
                <w:numId w:val="2"/>
              </w:numPr>
              <w:spacing w:line="276" w:lineRule="auto"/>
              <w:jc w:val="both"/>
            </w:pPr>
            <w:r>
              <w:rPr>
                <w:sz w:val="20"/>
                <w:szCs w:val="20"/>
              </w:rPr>
              <w:t xml:space="preserve">Establish, through the Ministry of Water and Energy, and in partnership with the </w:t>
            </w:r>
            <w:proofErr w:type="spellStart"/>
            <w:r>
              <w:rPr>
                <w:sz w:val="20"/>
                <w:szCs w:val="20"/>
              </w:rPr>
              <w:t>Dollow</w:t>
            </w:r>
            <w:proofErr w:type="spellEnd"/>
            <w:r>
              <w:rPr>
                <w:sz w:val="20"/>
                <w:szCs w:val="20"/>
              </w:rPr>
              <w:t xml:space="preserve"> Water Management Company, a selected Microfinance Institution (MFI), and with financial support from UNICEF and UNCDF, a financing mechanism to provide microloans covering household connection costs for piped water. </w:t>
            </w:r>
          </w:p>
          <w:p w14:paraId="19637898" w14:textId="77777777" w:rsidR="008C4632" w:rsidRDefault="00000000">
            <w:pPr>
              <w:numPr>
                <w:ilvl w:val="0"/>
                <w:numId w:val="2"/>
              </w:numPr>
              <w:spacing w:line="276" w:lineRule="auto"/>
              <w:jc w:val="both"/>
              <w:rPr>
                <w:b/>
                <w:bCs/>
              </w:rPr>
            </w:pPr>
            <w:r>
              <w:rPr>
                <w:sz w:val="20"/>
                <w:szCs w:val="20"/>
              </w:rPr>
              <w:t>Ensure that these microloans are repaid through affordable monthly charges integrated into household water bills, thereby providing a seamless, accessible, and sustainable repayment mechanism for low-income users</w:t>
            </w:r>
            <w:r>
              <w:rPr>
                <w:b/>
                <w:bCs/>
                <w:sz w:val="20"/>
                <w:szCs w:val="20"/>
              </w:rPr>
              <w:t xml:space="preserve">. </w:t>
            </w:r>
          </w:p>
          <w:p w14:paraId="1816273A" w14:textId="77777777" w:rsidR="008C4632" w:rsidRDefault="00000000">
            <w:pPr>
              <w:spacing w:line="276" w:lineRule="auto"/>
              <w:jc w:val="both"/>
              <w:rPr>
                <w:b/>
                <w:bCs/>
                <w:sz w:val="20"/>
                <w:szCs w:val="20"/>
              </w:rPr>
            </w:pPr>
            <w:r>
              <w:rPr>
                <w:b/>
                <w:bCs/>
                <w:sz w:val="20"/>
                <w:szCs w:val="20"/>
              </w:rPr>
              <w:t>Expand Pro-Poor Access to Water Services</w:t>
            </w:r>
          </w:p>
          <w:p w14:paraId="24EBA4E7" w14:textId="77777777" w:rsidR="008C4632" w:rsidRDefault="00000000">
            <w:pPr>
              <w:numPr>
                <w:ilvl w:val="0"/>
                <w:numId w:val="3"/>
              </w:numPr>
              <w:spacing w:line="276" w:lineRule="auto"/>
              <w:jc w:val="both"/>
            </w:pPr>
            <w:r>
              <w:rPr>
                <w:sz w:val="20"/>
                <w:szCs w:val="20"/>
              </w:rPr>
              <w:t xml:space="preserve">Facilitate access for low-income households, including IDPs, to safe and reliable piped water services that would otherwise remain unaffordable. </w:t>
            </w:r>
          </w:p>
          <w:p w14:paraId="7F21FAAB" w14:textId="77777777" w:rsidR="008C4632" w:rsidRDefault="00000000">
            <w:pPr>
              <w:numPr>
                <w:ilvl w:val="0"/>
                <w:numId w:val="3"/>
              </w:numPr>
              <w:spacing w:line="276" w:lineRule="auto"/>
              <w:jc w:val="both"/>
            </w:pPr>
            <w:r>
              <w:rPr>
                <w:sz w:val="20"/>
                <w:szCs w:val="20"/>
              </w:rPr>
              <w:t xml:space="preserve">Leverage blended financing to </w:t>
            </w:r>
            <w:proofErr w:type="spellStart"/>
            <w:r>
              <w:rPr>
                <w:sz w:val="20"/>
                <w:szCs w:val="20"/>
              </w:rPr>
              <w:t>mobilise</w:t>
            </w:r>
            <w:proofErr w:type="spellEnd"/>
            <w:r>
              <w:rPr>
                <w:sz w:val="20"/>
                <w:szCs w:val="20"/>
              </w:rPr>
              <w:t xml:space="preserve"> donor resources, development partner contributions, and private capital, with a view to expanding the reach and sustainability of service provision. </w:t>
            </w:r>
          </w:p>
          <w:p w14:paraId="559A80A2" w14:textId="77777777" w:rsidR="008C4632" w:rsidRDefault="00000000">
            <w:pPr>
              <w:spacing w:line="276" w:lineRule="auto"/>
              <w:jc w:val="both"/>
              <w:rPr>
                <w:b/>
                <w:bCs/>
                <w:sz w:val="20"/>
                <w:szCs w:val="20"/>
              </w:rPr>
            </w:pPr>
            <w:r>
              <w:rPr>
                <w:b/>
                <w:bCs/>
                <w:sz w:val="20"/>
                <w:szCs w:val="20"/>
              </w:rPr>
              <w:t>Establish a Revolving Fund to Scale Impact</w:t>
            </w:r>
          </w:p>
          <w:p w14:paraId="2345B346" w14:textId="77777777" w:rsidR="008C4632" w:rsidRDefault="00000000">
            <w:pPr>
              <w:numPr>
                <w:ilvl w:val="0"/>
                <w:numId w:val="4"/>
              </w:numPr>
              <w:spacing w:line="276" w:lineRule="auto"/>
              <w:jc w:val="both"/>
            </w:pPr>
            <w:r>
              <w:rPr>
                <w:sz w:val="20"/>
                <w:szCs w:val="20"/>
              </w:rPr>
              <w:t xml:space="preserve">Reinvest repaid capital to finance additional household connections, thereby progressively expanding service coverage. </w:t>
            </w:r>
          </w:p>
          <w:p w14:paraId="43FB57E6" w14:textId="77777777" w:rsidR="008C4632" w:rsidRDefault="00000000">
            <w:pPr>
              <w:numPr>
                <w:ilvl w:val="0"/>
                <w:numId w:val="4"/>
              </w:numPr>
              <w:spacing w:line="276" w:lineRule="auto"/>
              <w:jc w:val="both"/>
            </w:pPr>
            <w:r>
              <w:rPr>
                <w:sz w:val="20"/>
                <w:szCs w:val="20"/>
              </w:rPr>
              <w:t xml:space="preserve">Demonstrate a scalable and financially sustainable model for pro-poor WASH service delivery in Somalia. </w:t>
            </w:r>
          </w:p>
          <w:p w14:paraId="1C67F9BC" w14:textId="77777777" w:rsidR="008C4632" w:rsidRDefault="00000000">
            <w:pPr>
              <w:spacing w:line="276" w:lineRule="auto"/>
              <w:jc w:val="both"/>
              <w:rPr>
                <w:b/>
                <w:bCs/>
                <w:sz w:val="20"/>
                <w:szCs w:val="20"/>
              </w:rPr>
            </w:pPr>
            <w:r>
              <w:rPr>
                <w:b/>
                <w:bCs/>
                <w:sz w:val="20"/>
                <w:szCs w:val="20"/>
              </w:rPr>
              <w:t>Strengthen Institutional and Operational Capacities</w:t>
            </w:r>
          </w:p>
          <w:p w14:paraId="5BE45958" w14:textId="77777777" w:rsidR="008C4632" w:rsidRDefault="00000000">
            <w:pPr>
              <w:numPr>
                <w:ilvl w:val="0"/>
                <w:numId w:val="5"/>
              </w:numPr>
              <w:spacing w:line="276" w:lineRule="auto"/>
              <w:jc w:val="both"/>
            </w:pPr>
            <w:r>
              <w:rPr>
                <w:sz w:val="20"/>
                <w:szCs w:val="20"/>
              </w:rPr>
              <w:t xml:space="preserve">Enhance the capacity of the Ministry of Water and Energy, the </w:t>
            </w:r>
            <w:proofErr w:type="spellStart"/>
            <w:proofErr w:type="gramStart"/>
            <w:r>
              <w:rPr>
                <w:sz w:val="20"/>
                <w:szCs w:val="20"/>
              </w:rPr>
              <w:t>Dollow</w:t>
            </w:r>
            <w:proofErr w:type="spellEnd"/>
            <w:r>
              <w:rPr>
                <w:sz w:val="20"/>
                <w:szCs w:val="20"/>
              </w:rPr>
              <w:t xml:space="preserve">  Water</w:t>
            </w:r>
            <w:proofErr w:type="gramEnd"/>
            <w:r>
              <w:rPr>
                <w:sz w:val="20"/>
                <w:szCs w:val="20"/>
              </w:rPr>
              <w:t xml:space="preserve"> Management Company, and the participating MFI to manage financing mechanisms, monitor service delivery, and ensure operational efficiency. </w:t>
            </w:r>
          </w:p>
          <w:p w14:paraId="624459B6" w14:textId="77777777" w:rsidR="008C4632" w:rsidRDefault="00000000">
            <w:pPr>
              <w:numPr>
                <w:ilvl w:val="0"/>
                <w:numId w:val="5"/>
              </w:numPr>
              <w:spacing w:line="276" w:lineRule="auto"/>
              <w:jc w:val="both"/>
            </w:pPr>
            <w:r>
              <w:rPr>
                <w:sz w:val="20"/>
                <w:szCs w:val="20"/>
              </w:rPr>
              <w:t xml:space="preserve">Build the technical and administrative systems required to effectively manage a revolving social financing facility for water and sanitation services. </w:t>
            </w:r>
          </w:p>
          <w:p w14:paraId="733285AA" w14:textId="77777777" w:rsidR="008C4632" w:rsidRDefault="00000000">
            <w:pPr>
              <w:spacing w:line="276" w:lineRule="auto"/>
              <w:jc w:val="both"/>
              <w:rPr>
                <w:b/>
                <w:bCs/>
                <w:sz w:val="20"/>
                <w:szCs w:val="20"/>
              </w:rPr>
            </w:pPr>
            <w:r>
              <w:rPr>
                <w:b/>
                <w:bCs/>
                <w:sz w:val="20"/>
                <w:szCs w:val="20"/>
              </w:rPr>
              <w:t>Promote Durable Solutions and Household Resilience</w:t>
            </w:r>
          </w:p>
          <w:p w14:paraId="743EAFD5" w14:textId="77777777" w:rsidR="008C4632" w:rsidRDefault="00000000">
            <w:pPr>
              <w:numPr>
                <w:ilvl w:val="0"/>
                <w:numId w:val="6"/>
              </w:numPr>
              <w:spacing w:line="276" w:lineRule="auto"/>
              <w:jc w:val="both"/>
            </w:pPr>
            <w:r>
              <w:rPr>
                <w:sz w:val="20"/>
                <w:szCs w:val="20"/>
              </w:rPr>
              <w:t xml:space="preserve">Link access to essential WASH services with financial inclusion and broader socio-economic empowerment of households. </w:t>
            </w:r>
          </w:p>
          <w:p w14:paraId="23EC7FEF" w14:textId="77777777" w:rsidR="008C4632" w:rsidRDefault="00000000">
            <w:pPr>
              <w:numPr>
                <w:ilvl w:val="0"/>
                <w:numId w:val="6"/>
              </w:numPr>
              <w:spacing w:line="276" w:lineRule="auto"/>
              <w:jc w:val="both"/>
            </w:pPr>
            <w:r>
              <w:rPr>
                <w:sz w:val="20"/>
                <w:szCs w:val="20"/>
              </w:rPr>
              <w:t xml:space="preserve">Contribute to improved well-being, health outcomes, and socio-economic integration of low-income and displaced populations. </w:t>
            </w:r>
          </w:p>
          <w:p w14:paraId="42F4A98C" w14:textId="77777777" w:rsidR="008C4632" w:rsidRDefault="00000000">
            <w:pPr>
              <w:spacing w:line="276" w:lineRule="auto"/>
              <w:jc w:val="both"/>
              <w:rPr>
                <w:b/>
                <w:bCs/>
                <w:sz w:val="20"/>
                <w:szCs w:val="20"/>
              </w:rPr>
            </w:pPr>
            <w:r>
              <w:rPr>
                <w:sz w:val="20"/>
                <w:szCs w:val="20"/>
              </w:rPr>
              <w:t>Through this approach, the WASH-FIT initiative seeks to demonstrate an innovative, scalable, and sustainable financing model that addresses affordability constraints, strengthens institutional capacity, and promotes equitable access to safe water services for vulnerable populations</w:t>
            </w:r>
            <w:r>
              <w:rPr>
                <w:b/>
                <w:bCs/>
                <w:sz w:val="20"/>
                <w:szCs w:val="20"/>
              </w:rPr>
              <w:t>.</w:t>
            </w:r>
          </w:p>
        </w:tc>
      </w:tr>
      <w:tr w:rsidR="008C4632" w14:paraId="234B8B53" w14:textId="77777777">
        <w:tc>
          <w:tcPr>
            <w:tcW w:w="9016" w:type="dxa"/>
          </w:tcPr>
          <w:p w14:paraId="47232A0D" w14:textId="77777777" w:rsidR="008C4632" w:rsidRDefault="00000000">
            <w:pPr>
              <w:spacing w:line="276" w:lineRule="auto"/>
              <w:jc w:val="both"/>
              <w:rPr>
                <w:b/>
                <w:bCs/>
                <w:sz w:val="20"/>
                <w:szCs w:val="20"/>
              </w:rPr>
            </w:pPr>
            <w:r>
              <w:rPr>
                <w:b/>
                <w:bCs/>
                <w:sz w:val="20"/>
                <w:szCs w:val="20"/>
              </w:rPr>
              <w:lastRenderedPageBreak/>
              <w:t>3. Scope of Work</w:t>
            </w:r>
          </w:p>
          <w:p w14:paraId="2B110E30" w14:textId="77777777" w:rsidR="008C4632" w:rsidRDefault="00000000">
            <w:pPr>
              <w:spacing w:line="276" w:lineRule="auto"/>
              <w:jc w:val="both"/>
              <w:rPr>
                <w:sz w:val="20"/>
                <w:szCs w:val="20"/>
              </w:rPr>
            </w:pPr>
            <w:r>
              <w:rPr>
                <w:sz w:val="20"/>
                <w:szCs w:val="20"/>
              </w:rPr>
              <w:t xml:space="preserve">The WASH Social Financing Mechanism under the WASH-FIT initiative establishes a pro-poor revolving loan facility to enable low-income households, to access safe and reliable piped water services in </w:t>
            </w:r>
            <w:proofErr w:type="spellStart"/>
            <w:r>
              <w:rPr>
                <w:sz w:val="20"/>
                <w:szCs w:val="20"/>
              </w:rPr>
              <w:t>Dollow</w:t>
            </w:r>
            <w:proofErr w:type="spellEnd"/>
            <w:r>
              <w:rPr>
                <w:sz w:val="20"/>
                <w:szCs w:val="20"/>
              </w:rPr>
              <w:t xml:space="preserve"> District, </w:t>
            </w:r>
            <w:proofErr w:type="spellStart"/>
            <w:r>
              <w:rPr>
                <w:sz w:val="20"/>
                <w:szCs w:val="20"/>
              </w:rPr>
              <w:t>Jubaland</w:t>
            </w:r>
            <w:proofErr w:type="spellEnd"/>
            <w:r>
              <w:rPr>
                <w:sz w:val="20"/>
                <w:szCs w:val="20"/>
              </w:rPr>
              <w:t>. The revolving nature of the facility ensures that repaid capital is continuously reinvested to finance additional household connections, thereby expanding access over time. The initiative is implemented by the Ministry of Energy and Water Resources (</w:t>
            </w:r>
            <w:proofErr w:type="spellStart"/>
            <w:r>
              <w:rPr>
                <w:sz w:val="20"/>
                <w:szCs w:val="20"/>
              </w:rPr>
              <w:t>MoEWR</w:t>
            </w:r>
            <w:proofErr w:type="spellEnd"/>
            <w:r>
              <w:rPr>
                <w:sz w:val="20"/>
                <w:szCs w:val="20"/>
              </w:rPr>
              <w:t xml:space="preserve">), in partnership with the </w:t>
            </w:r>
            <w:proofErr w:type="spellStart"/>
            <w:r>
              <w:rPr>
                <w:sz w:val="20"/>
                <w:szCs w:val="20"/>
              </w:rPr>
              <w:t>Dollow</w:t>
            </w:r>
            <w:proofErr w:type="spellEnd"/>
            <w:r>
              <w:rPr>
                <w:sz w:val="20"/>
                <w:szCs w:val="20"/>
              </w:rPr>
              <w:t xml:space="preserve"> Water Management Company, with technical and financial support from UNCDF and UNICEF.</w:t>
            </w:r>
          </w:p>
          <w:p w14:paraId="485A1CA1" w14:textId="77777777" w:rsidR="008C4632" w:rsidRDefault="008C4632">
            <w:pPr>
              <w:spacing w:line="276" w:lineRule="auto"/>
              <w:jc w:val="both"/>
              <w:rPr>
                <w:sz w:val="20"/>
                <w:szCs w:val="20"/>
              </w:rPr>
            </w:pPr>
          </w:p>
          <w:p w14:paraId="44093A7C" w14:textId="77777777" w:rsidR="008C4632" w:rsidRDefault="00000000">
            <w:pPr>
              <w:spacing w:line="276" w:lineRule="auto"/>
              <w:jc w:val="both"/>
              <w:rPr>
                <w:sz w:val="20"/>
                <w:szCs w:val="20"/>
              </w:rPr>
            </w:pPr>
            <w:r>
              <w:rPr>
                <w:sz w:val="20"/>
                <w:szCs w:val="20"/>
              </w:rPr>
              <w:t>In this context, the Ministry of Energy and Water Resources invites a qualified Microfinance Institution (MFI) to undertake the following tasks:</w:t>
            </w:r>
          </w:p>
          <w:p w14:paraId="31157366" w14:textId="77777777" w:rsidR="008C4632" w:rsidRDefault="00000000">
            <w:pPr>
              <w:spacing w:line="276" w:lineRule="auto"/>
              <w:jc w:val="both"/>
              <w:rPr>
                <w:b/>
                <w:bCs/>
                <w:sz w:val="20"/>
                <w:szCs w:val="20"/>
              </w:rPr>
            </w:pPr>
            <w:r>
              <w:rPr>
                <w:b/>
                <w:bCs/>
                <w:sz w:val="20"/>
                <w:szCs w:val="20"/>
              </w:rPr>
              <w:t>A. Design and Implementation of a Pro-Poor Water Connection Revolving Loan Facility</w:t>
            </w:r>
          </w:p>
          <w:p w14:paraId="1EF8ED6B" w14:textId="77777777" w:rsidR="008C4632" w:rsidRDefault="00000000">
            <w:pPr>
              <w:numPr>
                <w:ilvl w:val="0"/>
                <w:numId w:val="7"/>
              </w:numPr>
              <w:spacing w:line="276" w:lineRule="auto"/>
              <w:jc w:val="both"/>
            </w:pPr>
            <w:r>
              <w:rPr>
                <w:sz w:val="20"/>
                <w:szCs w:val="20"/>
              </w:rPr>
              <w:t xml:space="preserve">Develop tailored Islamic compliant loan products for low-income households, including eligibility criteria, loan sizes, repayment terms, and disbursement procedures. </w:t>
            </w:r>
          </w:p>
          <w:p w14:paraId="4EB8E1C9" w14:textId="77777777" w:rsidR="008C4632" w:rsidRDefault="00000000">
            <w:pPr>
              <w:numPr>
                <w:ilvl w:val="0"/>
                <w:numId w:val="7"/>
              </w:numPr>
              <w:spacing w:line="276" w:lineRule="auto"/>
              <w:jc w:val="both"/>
            </w:pPr>
            <w:r>
              <w:rPr>
                <w:sz w:val="20"/>
                <w:szCs w:val="20"/>
              </w:rPr>
              <w:lastRenderedPageBreak/>
              <w:t xml:space="preserve">Pilot the loan products in </w:t>
            </w:r>
            <w:proofErr w:type="spellStart"/>
            <w:r>
              <w:rPr>
                <w:sz w:val="20"/>
                <w:szCs w:val="20"/>
              </w:rPr>
              <w:t>Dollow</w:t>
            </w:r>
            <w:proofErr w:type="spellEnd"/>
            <w:r>
              <w:rPr>
                <w:sz w:val="20"/>
                <w:szCs w:val="20"/>
              </w:rPr>
              <w:t xml:space="preserve"> District and assess performance, including uptake, repayment compliance, and overall feasibility. </w:t>
            </w:r>
          </w:p>
          <w:p w14:paraId="25BAB38A" w14:textId="77777777" w:rsidR="008C4632" w:rsidRDefault="00000000">
            <w:pPr>
              <w:numPr>
                <w:ilvl w:val="0"/>
                <w:numId w:val="7"/>
              </w:numPr>
              <w:spacing w:line="276" w:lineRule="auto"/>
              <w:jc w:val="both"/>
            </w:pPr>
            <w:r>
              <w:rPr>
                <w:sz w:val="20"/>
                <w:szCs w:val="20"/>
              </w:rPr>
              <w:t xml:space="preserve">Integrate loan repayment mechanisms into the water utility billing system to ensure efficiency, transparency, and ease of collection. </w:t>
            </w:r>
          </w:p>
          <w:p w14:paraId="06866E9B" w14:textId="77777777" w:rsidR="008C4632" w:rsidRDefault="00000000">
            <w:pPr>
              <w:numPr>
                <w:ilvl w:val="0"/>
                <w:numId w:val="7"/>
              </w:numPr>
              <w:spacing w:line="276" w:lineRule="auto"/>
              <w:jc w:val="both"/>
            </w:pPr>
            <w:r>
              <w:rPr>
                <w:sz w:val="20"/>
                <w:szCs w:val="20"/>
              </w:rPr>
              <w:t xml:space="preserve">Ensure that the facility operates as a revolving fund, with repayments systematically recovered and reinvested to finance new connections. </w:t>
            </w:r>
          </w:p>
          <w:p w14:paraId="6E4DEFFF" w14:textId="77777777" w:rsidR="008C4632" w:rsidRDefault="00000000">
            <w:pPr>
              <w:spacing w:line="276" w:lineRule="auto"/>
              <w:jc w:val="both"/>
              <w:rPr>
                <w:b/>
                <w:bCs/>
                <w:sz w:val="20"/>
                <w:szCs w:val="20"/>
              </w:rPr>
            </w:pPr>
            <w:r>
              <w:rPr>
                <w:b/>
                <w:bCs/>
                <w:sz w:val="20"/>
                <w:szCs w:val="20"/>
              </w:rPr>
              <w:t xml:space="preserve">B. </w:t>
            </w:r>
            <w:proofErr w:type="spellStart"/>
            <w:r>
              <w:rPr>
                <w:b/>
                <w:bCs/>
                <w:sz w:val="20"/>
                <w:szCs w:val="20"/>
              </w:rPr>
              <w:t>Mobilisation</w:t>
            </w:r>
            <w:proofErr w:type="spellEnd"/>
            <w:r>
              <w:rPr>
                <w:b/>
                <w:bCs/>
                <w:sz w:val="20"/>
                <w:szCs w:val="20"/>
              </w:rPr>
              <w:t xml:space="preserve"> and Household Profiling</w:t>
            </w:r>
          </w:p>
          <w:p w14:paraId="3EFCF29D" w14:textId="77777777" w:rsidR="008C4632" w:rsidRDefault="00000000">
            <w:pPr>
              <w:numPr>
                <w:ilvl w:val="0"/>
                <w:numId w:val="8"/>
              </w:numPr>
              <w:spacing w:line="276" w:lineRule="auto"/>
              <w:jc w:val="both"/>
            </w:pPr>
            <w:r>
              <w:rPr>
                <w:sz w:val="20"/>
                <w:szCs w:val="20"/>
              </w:rPr>
              <w:t xml:space="preserve">Conduct community-based targeting to identify eligible low-income households, including IDPs. </w:t>
            </w:r>
          </w:p>
          <w:p w14:paraId="08F436F2" w14:textId="77777777" w:rsidR="008C4632" w:rsidRDefault="00000000">
            <w:pPr>
              <w:numPr>
                <w:ilvl w:val="0"/>
                <w:numId w:val="8"/>
              </w:numPr>
              <w:spacing w:line="276" w:lineRule="auto"/>
              <w:jc w:val="both"/>
            </w:pPr>
            <w:r>
              <w:rPr>
                <w:sz w:val="20"/>
                <w:szCs w:val="20"/>
              </w:rPr>
              <w:t xml:space="preserve">Collect and maintain household socio-economic and service access data to inform loan eligibility, targeting, and impact monitoring. </w:t>
            </w:r>
          </w:p>
          <w:p w14:paraId="1BECA773" w14:textId="77777777" w:rsidR="008C4632" w:rsidRDefault="00000000">
            <w:pPr>
              <w:numPr>
                <w:ilvl w:val="0"/>
                <w:numId w:val="8"/>
              </w:numPr>
              <w:spacing w:line="276" w:lineRule="auto"/>
              <w:jc w:val="both"/>
            </w:pPr>
            <w:r>
              <w:rPr>
                <w:sz w:val="20"/>
                <w:szCs w:val="20"/>
              </w:rPr>
              <w:t xml:space="preserve">Enroll selected beneficiaries into the revolving loan portfolio and maintain accurate and up-to-date records. </w:t>
            </w:r>
          </w:p>
          <w:p w14:paraId="60E0AFD5" w14:textId="77777777" w:rsidR="008C4632" w:rsidRDefault="00000000">
            <w:pPr>
              <w:spacing w:line="276" w:lineRule="auto"/>
              <w:jc w:val="both"/>
              <w:rPr>
                <w:b/>
                <w:bCs/>
                <w:sz w:val="20"/>
                <w:szCs w:val="20"/>
              </w:rPr>
            </w:pPr>
            <w:r>
              <w:rPr>
                <w:b/>
                <w:bCs/>
                <w:sz w:val="20"/>
                <w:szCs w:val="20"/>
              </w:rPr>
              <w:t>C. Financing and Facilitation of Low-Income Household Water Connections</w:t>
            </w:r>
          </w:p>
          <w:p w14:paraId="26C65C0B" w14:textId="77777777" w:rsidR="008C4632" w:rsidRDefault="00000000">
            <w:pPr>
              <w:numPr>
                <w:ilvl w:val="0"/>
                <w:numId w:val="9"/>
              </w:numPr>
              <w:spacing w:line="276" w:lineRule="auto"/>
              <w:jc w:val="both"/>
            </w:pPr>
            <w:r>
              <w:rPr>
                <w:sz w:val="20"/>
                <w:szCs w:val="20"/>
              </w:rPr>
              <w:t xml:space="preserve">Identify and select eligible households for connection to the water supply network in coordination with the </w:t>
            </w:r>
            <w:proofErr w:type="spellStart"/>
            <w:r>
              <w:rPr>
                <w:sz w:val="20"/>
                <w:szCs w:val="20"/>
              </w:rPr>
              <w:t>Dollow</w:t>
            </w:r>
            <w:proofErr w:type="spellEnd"/>
            <w:r>
              <w:rPr>
                <w:sz w:val="20"/>
                <w:szCs w:val="20"/>
              </w:rPr>
              <w:t xml:space="preserve"> Water Management Company. </w:t>
            </w:r>
          </w:p>
          <w:p w14:paraId="22C5C76C" w14:textId="77777777" w:rsidR="008C4632" w:rsidRDefault="00000000">
            <w:pPr>
              <w:numPr>
                <w:ilvl w:val="0"/>
                <w:numId w:val="9"/>
              </w:numPr>
              <w:spacing w:line="276" w:lineRule="auto"/>
              <w:jc w:val="both"/>
            </w:pPr>
            <w:r>
              <w:rPr>
                <w:sz w:val="20"/>
                <w:szCs w:val="20"/>
              </w:rPr>
              <w:t xml:space="preserve">Disburse micro loans to low-income households to cover connection costs and ensure sound financial management of the revolving fund. </w:t>
            </w:r>
          </w:p>
          <w:p w14:paraId="18804145" w14:textId="77777777" w:rsidR="008C4632" w:rsidRDefault="00000000">
            <w:pPr>
              <w:numPr>
                <w:ilvl w:val="0"/>
                <w:numId w:val="9"/>
              </w:numPr>
              <w:spacing w:line="276" w:lineRule="auto"/>
              <w:jc w:val="both"/>
            </w:pPr>
            <w:r>
              <w:rPr>
                <w:sz w:val="20"/>
                <w:szCs w:val="20"/>
              </w:rPr>
              <w:t xml:space="preserve">Facilitate the installation of household piped-water connections in collaboration with the water utility. </w:t>
            </w:r>
          </w:p>
          <w:p w14:paraId="0B54AF0A" w14:textId="77777777" w:rsidR="008C4632" w:rsidRDefault="00000000">
            <w:pPr>
              <w:numPr>
                <w:ilvl w:val="0"/>
                <w:numId w:val="9"/>
              </w:numPr>
              <w:spacing w:line="276" w:lineRule="auto"/>
              <w:jc w:val="both"/>
              <w:rPr>
                <w:b/>
                <w:bCs/>
              </w:rPr>
            </w:pPr>
            <w:r>
              <w:rPr>
                <w:sz w:val="20"/>
                <w:szCs w:val="20"/>
              </w:rPr>
              <w:t>Monitor loan repayment performance and ensure timely recovery and reinvestment of funds to sustain and scale the revolving facility</w:t>
            </w:r>
            <w:r>
              <w:rPr>
                <w:b/>
                <w:bCs/>
                <w:sz w:val="20"/>
                <w:szCs w:val="20"/>
              </w:rPr>
              <w:t xml:space="preserve">. </w:t>
            </w:r>
          </w:p>
          <w:p w14:paraId="4ACBC43C" w14:textId="77777777" w:rsidR="008C4632" w:rsidRDefault="00000000">
            <w:pPr>
              <w:spacing w:line="276" w:lineRule="auto"/>
              <w:jc w:val="both"/>
              <w:rPr>
                <w:b/>
                <w:bCs/>
                <w:sz w:val="20"/>
                <w:szCs w:val="20"/>
              </w:rPr>
            </w:pPr>
            <w:r>
              <w:rPr>
                <w:b/>
                <w:bCs/>
                <w:sz w:val="20"/>
                <w:szCs w:val="20"/>
              </w:rPr>
              <w:t>D. Community Awareness and Demand Generation</w:t>
            </w:r>
          </w:p>
          <w:p w14:paraId="06341515" w14:textId="77777777" w:rsidR="008C4632" w:rsidRDefault="00000000">
            <w:pPr>
              <w:numPr>
                <w:ilvl w:val="0"/>
                <w:numId w:val="10"/>
              </w:numPr>
              <w:spacing w:line="276" w:lineRule="auto"/>
              <w:jc w:val="both"/>
            </w:pPr>
            <w:r>
              <w:rPr>
                <w:sz w:val="20"/>
                <w:szCs w:val="20"/>
              </w:rPr>
              <w:t xml:space="preserve">Design and implement community awareness campaigns to promote understanding of the revolving financing mechanism, including eligibility criteria, loan terms, and benefits of piped water access. </w:t>
            </w:r>
          </w:p>
          <w:p w14:paraId="17196D98" w14:textId="77777777" w:rsidR="008C4632" w:rsidRDefault="00000000">
            <w:pPr>
              <w:numPr>
                <w:ilvl w:val="0"/>
                <w:numId w:val="10"/>
              </w:numPr>
              <w:spacing w:line="276" w:lineRule="auto"/>
              <w:jc w:val="both"/>
            </w:pPr>
            <w:r>
              <w:rPr>
                <w:sz w:val="20"/>
                <w:szCs w:val="20"/>
              </w:rPr>
              <w:t xml:space="preserve">Build household awareness of repayment modalities, particularly the integration of loan repayment into water bills, and the long-term sustainability of the revolving fund. </w:t>
            </w:r>
          </w:p>
          <w:p w14:paraId="458E2514" w14:textId="77777777" w:rsidR="008C4632" w:rsidRDefault="00000000">
            <w:pPr>
              <w:spacing w:line="276" w:lineRule="auto"/>
              <w:jc w:val="both"/>
              <w:rPr>
                <w:b/>
                <w:bCs/>
                <w:sz w:val="20"/>
                <w:szCs w:val="20"/>
              </w:rPr>
            </w:pPr>
            <w:r>
              <w:rPr>
                <w:b/>
                <w:bCs/>
                <w:sz w:val="20"/>
                <w:szCs w:val="20"/>
              </w:rPr>
              <w:t>E. Monitoring, Reporting, and Performance Tracking</w:t>
            </w:r>
          </w:p>
          <w:p w14:paraId="79314754" w14:textId="77777777" w:rsidR="008C4632" w:rsidRDefault="00000000">
            <w:pPr>
              <w:numPr>
                <w:ilvl w:val="0"/>
                <w:numId w:val="11"/>
              </w:numPr>
              <w:spacing w:line="276" w:lineRule="auto"/>
              <w:jc w:val="both"/>
            </w:pPr>
            <w:r>
              <w:rPr>
                <w:sz w:val="20"/>
                <w:szCs w:val="20"/>
              </w:rPr>
              <w:t xml:space="preserve">Track and report on agreed indicators related to loan performance, including uptake, repayment rates, portfolio quality, and fund </w:t>
            </w:r>
            <w:proofErr w:type="spellStart"/>
            <w:r>
              <w:rPr>
                <w:sz w:val="20"/>
                <w:szCs w:val="20"/>
              </w:rPr>
              <w:t>utilisation</w:t>
            </w:r>
            <w:proofErr w:type="spellEnd"/>
            <w:r>
              <w:rPr>
                <w:sz w:val="20"/>
                <w:szCs w:val="20"/>
              </w:rPr>
              <w:t xml:space="preserve">. </w:t>
            </w:r>
          </w:p>
          <w:p w14:paraId="728A6443" w14:textId="77777777" w:rsidR="008C4632" w:rsidRDefault="00000000">
            <w:pPr>
              <w:numPr>
                <w:ilvl w:val="0"/>
                <w:numId w:val="11"/>
              </w:numPr>
              <w:spacing w:line="276" w:lineRule="auto"/>
              <w:jc w:val="both"/>
            </w:pPr>
            <w:r>
              <w:rPr>
                <w:sz w:val="20"/>
                <w:szCs w:val="20"/>
              </w:rPr>
              <w:t xml:space="preserve">Monitor and report on changes in household socio-economic conditions and access to water services among beneficiaries. </w:t>
            </w:r>
          </w:p>
          <w:p w14:paraId="42355D32" w14:textId="77777777" w:rsidR="008C4632" w:rsidRDefault="00000000">
            <w:pPr>
              <w:numPr>
                <w:ilvl w:val="0"/>
                <w:numId w:val="11"/>
              </w:numPr>
              <w:spacing w:line="276" w:lineRule="auto"/>
              <w:jc w:val="both"/>
            </w:pPr>
            <w:r>
              <w:rPr>
                <w:sz w:val="20"/>
                <w:szCs w:val="20"/>
              </w:rPr>
              <w:t>Provide regular progress reports to the Ministry, UNICEF and UNCDF, including analysis of performance, challenges, and recommendations to strengthen the effectiveness and scalability of the revolving fund.</w:t>
            </w:r>
          </w:p>
          <w:p w14:paraId="14450E93" w14:textId="77777777" w:rsidR="008C4632" w:rsidRDefault="00000000">
            <w:pPr>
              <w:spacing w:line="276" w:lineRule="auto"/>
              <w:jc w:val="both"/>
              <w:rPr>
                <w:b/>
                <w:bCs/>
                <w:sz w:val="20"/>
                <w:szCs w:val="20"/>
              </w:rPr>
            </w:pPr>
            <w:r>
              <w:rPr>
                <w:b/>
                <w:bCs/>
                <w:sz w:val="20"/>
                <w:szCs w:val="20"/>
              </w:rPr>
              <w:t>Expected Outcomes</w:t>
            </w:r>
          </w:p>
          <w:p w14:paraId="384CD4DA" w14:textId="77777777" w:rsidR="008C4632" w:rsidRDefault="00000000">
            <w:pPr>
              <w:numPr>
                <w:ilvl w:val="0"/>
                <w:numId w:val="12"/>
              </w:numPr>
              <w:spacing w:line="276" w:lineRule="auto"/>
              <w:jc w:val="both"/>
            </w:pPr>
            <w:r>
              <w:rPr>
                <w:sz w:val="20"/>
                <w:szCs w:val="20"/>
              </w:rPr>
              <w:t xml:space="preserve">Establishment of a fully operational pro-poor revolving loan facility supporting household water connections. </w:t>
            </w:r>
          </w:p>
          <w:p w14:paraId="768E728E" w14:textId="77777777" w:rsidR="008C4632" w:rsidRDefault="00000000">
            <w:pPr>
              <w:numPr>
                <w:ilvl w:val="0"/>
                <w:numId w:val="12"/>
              </w:numPr>
              <w:spacing w:line="276" w:lineRule="auto"/>
              <w:jc w:val="both"/>
            </w:pPr>
            <w:r>
              <w:rPr>
                <w:sz w:val="20"/>
                <w:szCs w:val="20"/>
              </w:rPr>
              <w:t xml:space="preserve">Increased household-level access to safe and reliable piped water services for low-income and displaced populations. </w:t>
            </w:r>
          </w:p>
          <w:p w14:paraId="51CD96BD" w14:textId="77777777" w:rsidR="008C4632" w:rsidRDefault="00000000">
            <w:pPr>
              <w:numPr>
                <w:ilvl w:val="0"/>
                <w:numId w:val="12"/>
              </w:numPr>
              <w:spacing w:line="276" w:lineRule="auto"/>
              <w:jc w:val="both"/>
            </w:pPr>
            <w:r>
              <w:rPr>
                <w:sz w:val="20"/>
                <w:szCs w:val="20"/>
              </w:rPr>
              <w:t xml:space="preserve">Improved financial inclusion and repayment capacity among beneficiary households. </w:t>
            </w:r>
          </w:p>
          <w:p w14:paraId="571CB2E4" w14:textId="77777777" w:rsidR="008C4632" w:rsidRDefault="00000000">
            <w:pPr>
              <w:numPr>
                <w:ilvl w:val="0"/>
                <w:numId w:val="12"/>
              </w:numPr>
              <w:spacing w:line="276" w:lineRule="auto"/>
              <w:jc w:val="both"/>
            </w:pPr>
            <w:r>
              <w:rPr>
                <w:sz w:val="20"/>
                <w:szCs w:val="20"/>
              </w:rPr>
              <w:t>Replicable model demonstrating blended financing for inclusive, pro-poor WASH service delivery in urban and peri-urban contexts.</w:t>
            </w:r>
          </w:p>
          <w:p w14:paraId="0307B3B1" w14:textId="77777777" w:rsidR="008C4632" w:rsidRDefault="008C4632">
            <w:pPr>
              <w:spacing w:line="276" w:lineRule="auto"/>
              <w:jc w:val="both"/>
              <w:rPr>
                <w:sz w:val="20"/>
                <w:szCs w:val="20"/>
              </w:rPr>
            </w:pPr>
          </w:p>
          <w:p w14:paraId="59853F20" w14:textId="77777777" w:rsidR="008C4632" w:rsidRDefault="008C4632">
            <w:pPr>
              <w:spacing w:line="276" w:lineRule="auto"/>
              <w:jc w:val="both"/>
              <w:rPr>
                <w:sz w:val="20"/>
                <w:szCs w:val="20"/>
              </w:rPr>
            </w:pPr>
          </w:p>
          <w:p w14:paraId="67D3A6CF" w14:textId="77777777" w:rsidR="008C4632" w:rsidRDefault="008C4632">
            <w:pPr>
              <w:spacing w:line="276" w:lineRule="auto"/>
              <w:jc w:val="both"/>
              <w:rPr>
                <w:sz w:val="20"/>
                <w:szCs w:val="20"/>
              </w:rPr>
            </w:pPr>
          </w:p>
          <w:p w14:paraId="3DB35187" w14:textId="77777777" w:rsidR="008C4632" w:rsidRDefault="008C4632">
            <w:pPr>
              <w:spacing w:line="276" w:lineRule="auto"/>
              <w:jc w:val="both"/>
              <w:rPr>
                <w:sz w:val="20"/>
                <w:szCs w:val="20"/>
              </w:rPr>
            </w:pPr>
          </w:p>
        </w:tc>
      </w:tr>
      <w:tr w:rsidR="008C4632" w14:paraId="4A4E0F2E" w14:textId="77777777">
        <w:trPr>
          <w:trHeight w:val="300"/>
        </w:trPr>
        <w:tc>
          <w:tcPr>
            <w:tcW w:w="9016" w:type="dxa"/>
          </w:tcPr>
          <w:p w14:paraId="242CBC7B" w14:textId="77777777" w:rsidR="008C4632" w:rsidRDefault="00000000">
            <w:pPr>
              <w:spacing w:line="276" w:lineRule="auto"/>
              <w:jc w:val="both"/>
              <w:rPr>
                <w:b/>
                <w:bCs/>
                <w:sz w:val="20"/>
                <w:szCs w:val="20"/>
              </w:rPr>
            </w:pPr>
            <w:r>
              <w:rPr>
                <w:b/>
                <w:bCs/>
                <w:sz w:val="20"/>
                <w:szCs w:val="20"/>
              </w:rPr>
              <w:lastRenderedPageBreak/>
              <w:t>4. Mandatory requirements of the MFI</w:t>
            </w:r>
          </w:p>
          <w:tbl>
            <w:tblPr>
              <w:tblStyle w:val="a0"/>
              <w:tblW w:w="8769" w:type="dxa"/>
              <w:tblInd w:w="21" w:type="dxa"/>
              <w:tblLayout w:type="fixed"/>
              <w:tblLook w:val="0400" w:firstRow="0" w:lastRow="0" w:firstColumn="0" w:lastColumn="0" w:noHBand="0" w:noVBand="1"/>
            </w:tblPr>
            <w:tblGrid>
              <w:gridCol w:w="567"/>
              <w:gridCol w:w="6807"/>
              <w:gridCol w:w="1395"/>
            </w:tblGrid>
            <w:tr w:rsidR="008C4632" w14:paraId="49961971" w14:textId="77777777">
              <w:trPr>
                <w:trHeight w:val="430"/>
              </w:trPr>
              <w:tc>
                <w:tcPr>
                  <w:tcW w:w="567" w:type="dxa"/>
                  <w:tcBorders>
                    <w:top w:val="single" w:sz="4" w:space="0" w:color="D9D9D9"/>
                    <w:left w:val="single" w:sz="4" w:space="0" w:color="D9D9D9"/>
                    <w:bottom w:val="single" w:sz="4" w:space="0" w:color="D9D9D9"/>
                    <w:right w:val="single" w:sz="4" w:space="0" w:color="D9D9D9"/>
                  </w:tcBorders>
                  <w:shd w:val="clear" w:color="auto" w:fill="E7EDF3"/>
                  <w:vAlign w:val="center"/>
                </w:tcPr>
                <w:p w14:paraId="63477F8A" w14:textId="77777777" w:rsidR="008C4632" w:rsidRDefault="00000000">
                  <w:pPr>
                    <w:spacing w:before="80" w:after="80"/>
                  </w:pPr>
                  <w:r>
                    <w:rPr>
                      <w:b/>
                      <w:bCs/>
                      <w:sz w:val="20"/>
                      <w:szCs w:val="20"/>
                    </w:rPr>
                    <w:lastRenderedPageBreak/>
                    <w:t>No.</w:t>
                  </w:r>
                </w:p>
              </w:tc>
              <w:tc>
                <w:tcPr>
                  <w:tcW w:w="6807" w:type="dxa"/>
                  <w:tcBorders>
                    <w:top w:val="single" w:sz="4" w:space="0" w:color="D9D9D9"/>
                    <w:left w:val="single" w:sz="4" w:space="0" w:color="D9D9D9"/>
                    <w:bottom w:val="single" w:sz="4" w:space="0" w:color="D9D9D9"/>
                    <w:right w:val="single" w:sz="4" w:space="0" w:color="D9D9D9"/>
                  </w:tcBorders>
                  <w:shd w:val="clear" w:color="auto" w:fill="E7EDF3"/>
                  <w:vAlign w:val="center"/>
                </w:tcPr>
                <w:p w14:paraId="48F4CE90" w14:textId="77777777" w:rsidR="008C4632" w:rsidRDefault="00000000">
                  <w:pPr>
                    <w:spacing w:before="80" w:after="80"/>
                  </w:pPr>
                  <w:r>
                    <w:rPr>
                      <w:b/>
                      <w:bCs/>
                      <w:sz w:val="20"/>
                      <w:szCs w:val="20"/>
                    </w:rPr>
                    <w:t>Mandatory requirement</w:t>
                  </w:r>
                </w:p>
              </w:tc>
              <w:tc>
                <w:tcPr>
                  <w:tcW w:w="1395" w:type="dxa"/>
                  <w:tcBorders>
                    <w:top w:val="single" w:sz="4" w:space="0" w:color="D9D9D9"/>
                    <w:left w:val="single" w:sz="4" w:space="0" w:color="D9D9D9"/>
                    <w:bottom w:val="single" w:sz="4" w:space="0" w:color="D9D9D9"/>
                    <w:right w:val="single" w:sz="4" w:space="0" w:color="D9D9D9"/>
                  </w:tcBorders>
                  <w:shd w:val="clear" w:color="auto" w:fill="E7EDF3"/>
                  <w:vAlign w:val="center"/>
                </w:tcPr>
                <w:p w14:paraId="72A546B2" w14:textId="77777777" w:rsidR="008C4632" w:rsidRDefault="00000000">
                  <w:pPr>
                    <w:spacing w:before="80" w:after="80"/>
                  </w:pPr>
                  <w:r>
                    <w:rPr>
                      <w:b/>
                      <w:bCs/>
                      <w:sz w:val="20"/>
                      <w:szCs w:val="20"/>
                    </w:rPr>
                    <w:t>Assessment</w:t>
                  </w:r>
                </w:p>
              </w:tc>
            </w:tr>
            <w:tr w:rsidR="008C4632" w14:paraId="357F93EE" w14:textId="77777777">
              <w:trPr>
                <w:trHeight w:val="430"/>
              </w:trPr>
              <w:tc>
                <w:tcPr>
                  <w:tcW w:w="567"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E5AEAC8" w14:textId="77777777" w:rsidR="008C4632" w:rsidRDefault="00000000">
                  <w:pPr>
                    <w:spacing w:before="80" w:after="80"/>
                  </w:pPr>
                  <w:r>
                    <w:rPr>
                      <w:sz w:val="20"/>
                      <w:szCs w:val="20"/>
                    </w:rPr>
                    <w:t>1</w:t>
                  </w:r>
                </w:p>
              </w:tc>
              <w:tc>
                <w:tcPr>
                  <w:tcW w:w="6807"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0EDAF42" w14:textId="77777777" w:rsidR="008C4632" w:rsidRDefault="00000000">
                  <w:pPr>
                    <w:spacing w:before="80" w:after="80"/>
                  </w:pPr>
                  <w:r>
                    <w:rPr>
                      <w:sz w:val="20"/>
                      <w:szCs w:val="20"/>
                    </w:rPr>
                    <w:t>Business registration issued by the relevant Authority (</w:t>
                  </w:r>
                  <w:proofErr w:type="spellStart"/>
                  <w:r>
                    <w:rPr>
                      <w:sz w:val="20"/>
                      <w:szCs w:val="20"/>
                    </w:rPr>
                    <w:t>Jubaland</w:t>
                  </w:r>
                  <w:proofErr w:type="spellEnd"/>
                  <w:r>
                    <w:rPr>
                      <w:sz w:val="20"/>
                      <w:szCs w:val="20"/>
                    </w:rPr>
                    <w:t xml:space="preserve"> ministry of Commerce)</w:t>
                  </w:r>
                </w:p>
              </w:tc>
              <w:tc>
                <w:tcPr>
                  <w:tcW w:w="1395"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9693E15" w14:textId="77777777" w:rsidR="008C4632" w:rsidRDefault="00000000">
                  <w:pPr>
                    <w:spacing w:before="80" w:after="80"/>
                  </w:pPr>
                  <w:r>
                    <w:rPr>
                      <w:sz w:val="20"/>
                      <w:szCs w:val="20"/>
                    </w:rPr>
                    <w:t>Pass/Fail</w:t>
                  </w:r>
                </w:p>
              </w:tc>
            </w:tr>
            <w:tr w:rsidR="008C4632" w14:paraId="466BABA0" w14:textId="77777777">
              <w:trPr>
                <w:trHeight w:val="430"/>
              </w:trPr>
              <w:tc>
                <w:tcPr>
                  <w:tcW w:w="567"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A5AE54D" w14:textId="77777777" w:rsidR="008C4632" w:rsidRDefault="00000000">
                  <w:pPr>
                    <w:spacing w:before="80" w:after="80"/>
                  </w:pPr>
                  <w:r>
                    <w:rPr>
                      <w:sz w:val="20"/>
                      <w:szCs w:val="20"/>
                    </w:rPr>
                    <w:t>2</w:t>
                  </w:r>
                </w:p>
              </w:tc>
              <w:tc>
                <w:tcPr>
                  <w:tcW w:w="6807"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C1BC4FE" w14:textId="77777777" w:rsidR="008C4632" w:rsidRDefault="00000000">
                  <w:pPr>
                    <w:spacing w:before="80" w:after="80"/>
                  </w:pPr>
                  <w:r>
                    <w:rPr>
                      <w:sz w:val="20"/>
                      <w:szCs w:val="20"/>
                    </w:rPr>
                    <w:t>Current tax clearance certificate (</w:t>
                  </w:r>
                  <w:proofErr w:type="spellStart"/>
                  <w:r>
                    <w:rPr>
                      <w:sz w:val="20"/>
                      <w:szCs w:val="20"/>
                    </w:rPr>
                    <w:t>Jubaland</w:t>
                  </w:r>
                  <w:proofErr w:type="spellEnd"/>
                  <w:r>
                    <w:rPr>
                      <w:sz w:val="20"/>
                      <w:szCs w:val="20"/>
                    </w:rPr>
                    <w:t xml:space="preserve"> ministry of Finance)</w:t>
                  </w:r>
                </w:p>
              </w:tc>
              <w:tc>
                <w:tcPr>
                  <w:tcW w:w="1395"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0610E3B" w14:textId="77777777" w:rsidR="008C4632" w:rsidRDefault="00000000">
                  <w:pPr>
                    <w:spacing w:before="80" w:after="80"/>
                  </w:pPr>
                  <w:r>
                    <w:rPr>
                      <w:sz w:val="20"/>
                      <w:szCs w:val="20"/>
                    </w:rPr>
                    <w:t>Pass/Fail</w:t>
                  </w:r>
                </w:p>
              </w:tc>
            </w:tr>
          </w:tbl>
          <w:p w14:paraId="2BA3E9D3" w14:textId="77777777" w:rsidR="008C4632" w:rsidRDefault="008C4632">
            <w:pPr>
              <w:spacing w:line="276" w:lineRule="auto"/>
              <w:jc w:val="both"/>
              <w:rPr>
                <w:sz w:val="20"/>
                <w:szCs w:val="20"/>
              </w:rPr>
            </w:pPr>
          </w:p>
        </w:tc>
      </w:tr>
      <w:tr w:rsidR="008C4632" w14:paraId="743FE143" w14:textId="77777777">
        <w:tc>
          <w:tcPr>
            <w:tcW w:w="9016" w:type="dxa"/>
          </w:tcPr>
          <w:p w14:paraId="2FA93526" w14:textId="77777777" w:rsidR="008C4632" w:rsidRDefault="00000000">
            <w:pPr>
              <w:spacing w:line="276" w:lineRule="auto"/>
              <w:jc w:val="both"/>
              <w:rPr>
                <w:b/>
                <w:bCs/>
                <w:sz w:val="20"/>
                <w:szCs w:val="20"/>
              </w:rPr>
            </w:pPr>
            <w:r>
              <w:rPr>
                <w:b/>
                <w:bCs/>
                <w:sz w:val="20"/>
                <w:szCs w:val="20"/>
              </w:rPr>
              <w:lastRenderedPageBreak/>
              <w:t xml:space="preserve">5. Technical and financial Point </w:t>
            </w:r>
          </w:p>
          <w:tbl>
            <w:tblPr>
              <w:tblStyle w:val="a1"/>
              <w:tblW w:w="8790" w:type="dxa"/>
              <w:tblInd w:w="0" w:type="dxa"/>
              <w:tblLayout w:type="fixed"/>
              <w:tblLook w:val="0400" w:firstRow="0" w:lastRow="0" w:firstColumn="0" w:lastColumn="0" w:noHBand="0" w:noVBand="1"/>
            </w:tblPr>
            <w:tblGrid>
              <w:gridCol w:w="1721"/>
              <w:gridCol w:w="6241"/>
              <w:gridCol w:w="828"/>
            </w:tblGrid>
            <w:tr w:rsidR="008C4632" w14:paraId="0AADDF87" w14:textId="77777777">
              <w:trPr>
                <w:trHeight w:val="420"/>
              </w:trPr>
              <w:tc>
                <w:tcPr>
                  <w:tcW w:w="1721" w:type="dxa"/>
                  <w:tcBorders>
                    <w:top w:val="single" w:sz="4" w:space="0" w:color="D9D9D9"/>
                    <w:left w:val="single" w:sz="4" w:space="0" w:color="D9D9D9"/>
                    <w:bottom w:val="single" w:sz="4" w:space="0" w:color="D9D9D9"/>
                    <w:right w:val="single" w:sz="4" w:space="0" w:color="D9D9D9"/>
                  </w:tcBorders>
                  <w:shd w:val="clear" w:color="auto" w:fill="E7EDF3"/>
                  <w:vAlign w:val="center"/>
                </w:tcPr>
                <w:p w14:paraId="0968B9B1" w14:textId="77777777" w:rsidR="008C4632" w:rsidRDefault="00000000">
                  <w:pPr>
                    <w:spacing w:before="80" w:after="80"/>
                  </w:pPr>
                  <w:r>
                    <w:rPr>
                      <w:b/>
                      <w:bCs/>
                      <w:sz w:val="20"/>
                      <w:szCs w:val="20"/>
                    </w:rPr>
                    <w:t>Criterion</w:t>
                  </w:r>
                </w:p>
              </w:tc>
              <w:tc>
                <w:tcPr>
                  <w:tcW w:w="6241" w:type="dxa"/>
                  <w:tcBorders>
                    <w:top w:val="single" w:sz="4" w:space="0" w:color="D9D9D9"/>
                    <w:left w:val="single" w:sz="4" w:space="0" w:color="D9D9D9"/>
                    <w:bottom w:val="single" w:sz="4" w:space="0" w:color="D9D9D9"/>
                    <w:right w:val="single" w:sz="4" w:space="0" w:color="D9D9D9"/>
                  </w:tcBorders>
                  <w:shd w:val="clear" w:color="auto" w:fill="E7EDF3"/>
                  <w:vAlign w:val="center"/>
                </w:tcPr>
                <w:p w14:paraId="11A86856" w14:textId="77777777" w:rsidR="008C4632" w:rsidRDefault="00000000">
                  <w:pPr>
                    <w:spacing w:before="80" w:after="80"/>
                  </w:pPr>
                  <w:r>
                    <w:rPr>
                      <w:b/>
                      <w:bCs/>
                      <w:sz w:val="20"/>
                      <w:szCs w:val="20"/>
                    </w:rPr>
                    <w:t>Assessment focus</w:t>
                  </w:r>
                </w:p>
              </w:tc>
              <w:tc>
                <w:tcPr>
                  <w:tcW w:w="828" w:type="dxa"/>
                  <w:tcBorders>
                    <w:top w:val="single" w:sz="4" w:space="0" w:color="D9D9D9"/>
                    <w:left w:val="single" w:sz="4" w:space="0" w:color="D9D9D9"/>
                    <w:bottom w:val="single" w:sz="4" w:space="0" w:color="D9D9D9"/>
                    <w:right w:val="single" w:sz="4" w:space="0" w:color="D9D9D9"/>
                  </w:tcBorders>
                  <w:shd w:val="clear" w:color="auto" w:fill="E7EDF3"/>
                  <w:vAlign w:val="center"/>
                </w:tcPr>
                <w:p w14:paraId="04B76517" w14:textId="77777777" w:rsidR="008C4632" w:rsidRDefault="00000000">
                  <w:pPr>
                    <w:spacing w:before="80" w:after="80"/>
                  </w:pPr>
                  <w:r>
                    <w:rPr>
                      <w:b/>
                      <w:bCs/>
                      <w:sz w:val="20"/>
                      <w:szCs w:val="20"/>
                    </w:rPr>
                    <w:t>Points</w:t>
                  </w:r>
                </w:p>
              </w:tc>
            </w:tr>
            <w:tr w:rsidR="008C4632" w14:paraId="07B1FC66" w14:textId="77777777">
              <w:trPr>
                <w:trHeight w:val="956"/>
              </w:trPr>
              <w:tc>
                <w:tcPr>
                  <w:tcW w:w="1721"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B64EC0C" w14:textId="77777777" w:rsidR="008C4632" w:rsidRDefault="00000000">
                  <w:pPr>
                    <w:spacing w:before="80" w:after="80"/>
                  </w:pPr>
                  <w:r>
                    <w:rPr>
                      <w:sz w:val="20"/>
                      <w:szCs w:val="20"/>
                    </w:rPr>
                    <w:t>Understanding and methodology</w:t>
                  </w:r>
                </w:p>
              </w:tc>
              <w:tc>
                <w:tcPr>
                  <w:tcW w:w="6241"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9C0766D" w14:textId="77777777" w:rsidR="008C4632" w:rsidRDefault="00000000">
                  <w:pPr>
                    <w:spacing w:before="80" w:after="80"/>
                  </w:pPr>
                  <w:r>
                    <w:rPr>
                      <w:sz w:val="20"/>
                      <w:szCs w:val="20"/>
                    </w:rPr>
                    <w:t>Understanding of WASH-FIT; practical approach to Islamic-compliant financing, household targeting and profiling, awareness, utility coordination, disbursement, repayment, revolving fund management and reporting.</w:t>
                  </w:r>
                </w:p>
              </w:tc>
              <w:tc>
                <w:tcPr>
                  <w:tcW w:w="82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78C2D47" w14:textId="77777777" w:rsidR="008C4632" w:rsidRDefault="00000000">
                  <w:pPr>
                    <w:spacing w:before="80" w:after="80"/>
                  </w:pPr>
                  <w:r>
                    <w:rPr>
                      <w:sz w:val="20"/>
                      <w:szCs w:val="20"/>
                    </w:rPr>
                    <w:t>30</w:t>
                  </w:r>
                </w:p>
              </w:tc>
            </w:tr>
            <w:tr w:rsidR="008C4632" w14:paraId="57C7B8EE" w14:textId="77777777">
              <w:trPr>
                <w:trHeight w:val="688"/>
              </w:trPr>
              <w:tc>
                <w:tcPr>
                  <w:tcW w:w="1721"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22C9558" w14:textId="77777777" w:rsidR="008C4632" w:rsidRDefault="00000000">
                  <w:pPr>
                    <w:spacing w:before="80" w:after="80"/>
                  </w:pPr>
                  <w:r>
                    <w:rPr>
                      <w:sz w:val="20"/>
                      <w:szCs w:val="20"/>
                    </w:rPr>
                    <w:t>Technical team</w:t>
                  </w:r>
                </w:p>
              </w:tc>
              <w:tc>
                <w:tcPr>
                  <w:tcW w:w="6241"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36A24F7" w14:textId="77777777" w:rsidR="008C4632" w:rsidRDefault="00000000">
                  <w:pPr>
                    <w:spacing w:before="80" w:after="80"/>
                  </w:pPr>
                  <w:r>
                    <w:rPr>
                      <w:sz w:val="20"/>
                      <w:szCs w:val="20"/>
                    </w:rPr>
                    <w:t xml:space="preserve">Relevant qualifications and experience in microfinance, Islamic-compliant financing, </w:t>
                  </w:r>
                  <w:proofErr w:type="spellStart"/>
                  <w:r>
                    <w:rPr>
                      <w:sz w:val="20"/>
                      <w:szCs w:val="20"/>
                    </w:rPr>
                    <w:t>mobilisation</w:t>
                  </w:r>
                  <w:proofErr w:type="spellEnd"/>
                  <w:r>
                    <w:rPr>
                      <w:sz w:val="20"/>
                      <w:szCs w:val="20"/>
                    </w:rPr>
                    <w:t>, financial management, monitoring and reporting; clear roles and availability.</w:t>
                  </w:r>
                </w:p>
              </w:tc>
              <w:tc>
                <w:tcPr>
                  <w:tcW w:w="82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A18E2F5" w14:textId="77777777" w:rsidR="008C4632" w:rsidRDefault="00000000">
                  <w:pPr>
                    <w:spacing w:before="80" w:after="80"/>
                  </w:pPr>
                  <w:r>
                    <w:rPr>
                      <w:sz w:val="20"/>
                      <w:szCs w:val="20"/>
                    </w:rPr>
                    <w:t>25</w:t>
                  </w:r>
                </w:p>
              </w:tc>
            </w:tr>
            <w:tr w:rsidR="008C4632" w14:paraId="0531DA6B" w14:textId="77777777">
              <w:trPr>
                <w:trHeight w:val="698"/>
              </w:trPr>
              <w:tc>
                <w:tcPr>
                  <w:tcW w:w="1721"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40E59D4" w14:textId="77777777" w:rsidR="008C4632" w:rsidRDefault="00000000">
                  <w:pPr>
                    <w:spacing w:before="80" w:after="80"/>
                  </w:pPr>
                  <w:r>
                    <w:rPr>
                      <w:sz w:val="20"/>
                      <w:szCs w:val="20"/>
                    </w:rPr>
                    <w:t>Implementation workplan</w:t>
                  </w:r>
                </w:p>
              </w:tc>
              <w:tc>
                <w:tcPr>
                  <w:tcW w:w="6241"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598EBE9" w14:textId="77777777" w:rsidR="008C4632" w:rsidRDefault="00000000">
                  <w:pPr>
                    <w:spacing w:before="80" w:after="80"/>
                  </w:pPr>
                  <w:r>
                    <w:rPr>
                      <w:sz w:val="20"/>
                      <w:szCs w:val="20"/>
                    </w:rPr>
                    <w:t>Realistic timelines, milestones, deliverables and responsibilities covering all TOR activities and utility coordination for 185 household connections.</w:t>
                  </w:r>
                </w:p>
              </w:tc>
              <w:tc>
                <w:tcPr>
                  <w:tcW w:w="82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69F37F0" w14:textId="77777777" w:rsidR="008C4632" w:rsidRDefault="00000000">
                  <w:pPr>
                    <w:spacing w:before="80" w:after="80"/>
                  </w:pPr>
                  <w:r>
                    <w:rPr>
                      <w:sz w:val="20"/>
                      <w:szCs w:val="20"/>
                    </w:rPr>
                    <w:t>15</w:t>
                  </w:r>
                </w:p>
              </w:tc>
            </w:tr>
            <w:tr w:rsidR="008C4632" w14:paraId="0C143843" w14:textId="77777777">
              <w:trPr>
                <w:trHeight w:val="688"/>
              </w:trPr>
              <w:tc>
                <w:tcPr>
                  <w:tcW w:w="1721"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494E162" w14:textId="77777777" w:rsidR="008C4632" w:rsidRDefault="00000000">
                  <w:pPr>
                    <w:spacing w:before="80" w:after="80"/>
                  </w:pPr>
                  <w:r>
                    <w:rPr>
                      <w:sz w:val="20"/>
                      <w:szCs w:val="20"/>
                    </w:rPr>
                    <w:t>Total technical score</w:t>
                  </w:r>
                </w:p>
              </w:tc>
              <w:tc>
                <w:tcPr>
                  <w:tcW w:w="6241"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E975461" w14:textId="77777777" w:rsidR="008C4632" w:rsidRDefault="008C4632">
                  <w:pPr>
                    <w:spacing w:before="80" w:after="80"/>
                  </w:pPr>
                </w:p>
              </w:tc>
              <w:tc>
                <w:tcPr>
                  <w:tcW w:w="82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E8CD6AB" w14:textId="77777777" w:rsidR="008C4632" w:rsidRDefault="00000000">
                  <w:pPr>
                    <w:spacing w:before="80" w:after="80"/>
                  </w:pPr>
                  <w:r>
                    <w:rPr>
                      <w:sz w:val="20"/>
                      <w:szCs w:val="20"/>
                    </w:rPr>
                    <w:t>70</w:t>
                  </w:r>
                </w:p>
              </w:tc>
            </w:tr>
          </w:tbl>
          <w:p w14:paraId="7EBF2985" w14:textId="77777777" w:rsidR="008C4632" w:rsidRDefault="00000000">
            <w:pPr>
              <w:spacing w:line="276" w:lineRule="auto"/>
              <w:jc w:val="both"/>
              <w:rPr>
                <w:sz w:val="20"/>
                <w:szCs w:val="20"/>
              </w:rPr>
            </w:pPr>
            <w:r>
              <w:rPr>
                <w:b/>
                <w:bCs/>
                <w:sz w:val="20"/>
                <w:szCs w:val="20"/>
              </w:rPr>
              <w:t>Technical Qualification Threshold:</w:t>
            </w:r>
            <w:r>
              <w:rPr>
                <w:sz w:val="20"/>
                <w:szCs w:val="20"/>
              </w:rPr>
              <w:t xml:space="preserve"> A bidder scoring </w:t>
            </w:r>
            <w:r>
              <w:rPr>
                <w:b/>
                <w:bCs/>
                <w:sz w:val="20"/>
                <w:szCs w:val="20"/>
              </w:rPr>
              <w:t>50 points or more out of 70</w:t>
            </w:r>
            <w:r>
              <w:rPr>
                <w:sz w:val="20"/>
                <w:szCs w:val="20"/>
              </w:rPr>
              <w:t xml:space="preserve"> shall be considered technically qualified and shall proceed to financial evaluation. Any bidder scoring </w:t>
            </w:r>
            <w:r>
              <w:rPr>
                <w:b/>
                <w:bCs/>
                <w:sz w:val="20"/>
                <w:szCs w:val="20"/>
              </w:rPr>
              <w:t>below 50 points</w:t>
            </w:r>
            <w:r>
              <w:rPr>
                <w:sz w:val="20"/>
                <w:szCs w:val="20"/>
              </w:rPr>
              <w:t xml:space="preserve"> shall not be technically qualified and shall not proceed to financial evaluation.</w:t>
            </w:r>
          </w:p>
          <w:p w14:paraId="06A8C297" w14:textId="77777777" w:rsidR="008C4632" w:rsidRDefault="00000000">
            <w:pPr>
              <w:spacing w:line="276" w:lineRule="auto"/>
              <w:jc w:val="both"/>
              <w:rPr>
                <w:b/>
                <w:bCs/>
                <w:sz w:val="20"/>
                <w:szCs w:val="20"/>
              </w:rPr>
            </w:pPr>
            <w:r>
              <w:rPr>
                <w:b/>
                <w:bCs/>
                <w:sz w:val="20"/>
                <w:szCs w:val="20"/>
              </w:rPr>
              <w:t xml:space="preserve">6. Finical </w:t>
            </w:r>
            <w:proofErr w:type="spellStart"/>
            <w:r>
              <w:rPr>
                <w:b/>
                <w:bCs/>
                <w:sz w:val="20"/>
                <w:szCs w:val="20"/>
              </w:rPr>
              <w:t>Creatia</w:t>
            </w:r>
            <w:proofErr w:type="spellEnd"/>
            <w:r>
              <w:rPr>
                <w:b/>
                <w:bCs/>
                <w:sz w:val="20"/>
                <w:szCs w:val="20"/>
              </w:rPr>
              <w:t xml:space="preserve"> </w:t>
            </w:r>
          </w:p>
          <w:p w14:paraId="133DC44B" w14:textId="77777777" w:rsidR="008C4632" w:rsidRDefault="00000000">
            <w:pPr>
              <w:jc w:val="both"/>
              <w:rPr>
                <w:sz w:val="20"/>
                <w:szCs w:val="20"/>
              </w:rPr>
            </w:pPr>
            <w:r>
              <w:rPr>
                <w:sz w:val="20"/>
                <w:szCs w:val="20"/>
              </w:rPr>
              <w:t>Financial proposals will be checked for completeness, arithmetic accuracy and consistency with the TOR. The evaluated price comprises service costs for Activities 1, 2, 3 and 5, plus the USD equivalent of the Activity 4 commission. Seed capital shall be shown separately.</w:t>
            </w:r>
          </w:p>
          <w:p w14:paraId="43A035E1" w14:textId="77777777" w:rsidR="008C4632" w:rsidRDefault="00000000">
            <w:pPr>
              <w:jc w:val="both"/>
              <w:rPr>
                <w:sz w:val="20"/>
                <w:szCs w:val="20"/>
              </w:rPr>
            </w:pPr>
            <w:r>
              <w:rPr>
                <w:b/>
                <w:bCs/>
                <w:sz w:val="20"/>
                <w:szCs w:val="20"/>
              </w:rPr>
              <w:t xml:space="preserve">Financial score = (Lowest evaluated price ÷ Bidder’s evaluated price) × 30 </w:t>
            </w:r>
            <w:r>
              <w:rPr>
                <w:sz w:val="20"/>
                <w:szCs w:val="20"/>
              </w:rPr>
              <w:t>Only technically qualified bidders are compared. The lowest evaluated price receives 30 points; other qualified bidders receive proportionately lower scores.</w:t>
            </w:r>
          </w:p>
        </w:tc>
      </w:tr>
      <w:tr w:rsidR="008C4632" w14:paraId="56B4D0D6" w14:textId="77777777">
        <w:tc>
          <w:tcPr>
            <w:tcW w:w="9016" w:type="dxa"/>
          </w:tcPr>
          <w:p w14:paraId="51B1B017" w14:textId="77777777" w:rsidR="008C4632" w:rsidRDefault="00000000">
            <w:pPr>
              <w:spacing w:line="276" w:lineRule="auto"/>
              <w:jc w:val="both"/>
              <w:rPr>
                <w:b/>
                <w:bCs/>
                <w:sz w:val="20"/>
                <w:szCs w:val="20"/>
              </w:rPr>
            </w:pPr>
            <w:r>
              <w:rPr>
                <w:b/>
                <w:bCs/>
                <w:sz w:val="20"/>
                <w:szCs w:val="20"/>
              </w:rPr>
              <w:t>7. Application Submission</w:t>
            </w:r>
          </w:p>
          <w:p w14:paraId="28BD39CC" w14:textId="77777777" w:rsidR="008C4632" w:rsidRDefault="00000000">
            <w:pPr>
              <w:spacing w:line="276" w:lineRule="auto"/>
              <w:jc w:val="both"/>
              <w:rPr>
                <w:sz w:val="20"/>
                <w:szCs w:val="20"/>
              </w:rPr>
            </w:pPr>
            <w:r>
              <w:rPr>
                <w:sz w:val="20"/>
                <w:szCs w:val="20"/>
              </w:rPr>
              <w:t xml:space="preserve">Interested Microfinance Institutions (MFIs) or implementing partners are invited to submit their applications to the </w:t>
            </w:r>
            <w:proofErr w:type="spellStart"/>
            <w:r>
              <w:rPr>
                <w:i/>
                <w:iCs/>
                <w:color w:val="000000"/>
                <w:sz w:val="20"/>
                <w:szCs w:val="20"/>
              </w:rPr>
              <w:t>MoEWR</w:t>
            </w:r>
            <w:proofErr w:type="spellEnd"/>
            <w:r>
              <w:rPr>
                <w:i/>
                <w:iCs/>
                <w:color w:val="000000"/>
                <w:sz w:val="20"/>
                <w:szCs w:val="20"/>
              </w:rPr>
              <w:t xml:space="preserve"> -</w:t>
            </w:r>
            <w:r>
              <w:rPr>
                <w:sz w:val="20"/>
                <w:szCs w:val="20"/>
              </w:rPr>
              <w:t>, including the following documents:</w:t>
            </w:r>
          </w:p>
          <w:p w14:paraId="7E5F1FF9" w14:textId="77777777" w:rsidR="008C4632" w:rsidRDefault="00000000">
            <w:pPr>
              <w:numPr>
                <w:ilvl w:val="0"/>
                <w:numId w:val="1"/>
              </w:numPr>
              <w:spacing w:line="276" w:lineRule="auto"/>
              <w:jc w:val="both"/>
              <w:rPr>
                <w:sz w:val="20"/>
                <w:szCs w:val="20"/>
              </w:rPr>
            </w:pPr>
            <w:proofErr w:type="spellStart"/>
            <w:r>
              <w:rPr>
                <w:b/>
                <w:bCs/>
                <w:sz w:val="20"/>
                <w:szCs w:val="20"/>
              </w:rPr>
              <w:t>Organisational</w:t>
            </w:r>
            <w:proofErr w:type="spellEnd"/>
            <w:r>
              <w:rPr>
                <w:b/>
                <w:bCs/>
                <w:sz w:val="20"/>
                <w:szCs w:val="20"/>
              </w:rPr>
              <w:t xml:space="preserve"> profile</w:t>
            </w:r>
            <w:r>
              <w:rPr>
                <w:sz w:val="20"/>
                <w:szCs w:val="20"/>
              </w:rPr>
              <w:t xml:space="preserve"> demonstrating experience in microfinance, pro-poor lending, or related financial services. </w:t>
            </w:r>
          </w:p>
          <w:p w14:paraId="225A7DA2" w14:textId="77777777" w:rsidR="008C4632" w:rsidRDefault="00000000">
            <w:pPr>
              <w:numPr>
                <w:ilvl w:val="0"/>
                <w:numId w:val="1"/>
              </w:numPr>
              <w:spacing w:line="276" w:lineRule="auto"/>
              <w:jc w:val="both"/>
              <w:rPr>
                <w:sz w:val="20"/>
                <w:szCs w:val="20"/>
              </w:rPr>
            </w:pPr>
            <w:r>
              <w:rPr>
                <w:b/>
                <w:bCs/>
                <w:sz w:val="20"/>
                <w:szCs w:val="20"/>
              </w:rPr>
              <w:t>Technical proposal</w:t>
            </w:r>
            <w:r>
              <w:rPr>
                <w:sz w:val="20"/>
                <w:szCs w:val="20"/>
              </w:rPr>
              <w:t xml:space="preserve"> outlining approach to loan design, household </w:t>
            </w:r>
            <w:proofErr w:type="spellStart"/>
            <w:r>
              <w:rPr>
                <w:sz w:val="20"/>
                <w:szCs w:val="20"/>
              </w:rPr>
              <w:t>mobilisation</w:t>
            </w:r>
            <w:proofErr w:type="spellEnd"/>
            <w:r>
              <w:rPr>
                <w:sz w:val="20"/>
                <w:szCs w:val="20"/>
              </w:rPr>
              <w:t xml:space="preserve">, coordination with </w:t>
            </w:r>
            <w:proofErr w:type="spellStart"/>
            <w:r>
              <w:rPr>
                <w:sz w:val="20"/>
                <w:szCs w:val="20"/>
              </w:rPr>
              <w:t>MoEWR</w:t>
            </w:r>
            <w:proofErr w:type="spellEnd"/>
            <w:r>
              <w:rPr>
                <w:sz w:val="20"/>
                <w:szCs w:val="20"/>
              </w:rPr>
              <w:t xml:space="preserve"> and Water Utility, repayment management, and monitoring &amp; evaluation. </w:t>
            </w:r>
          </w:p>
          <w:p w14:paraId="0492722B" w14:textId="77777777" w:rsidR="008C4632" w:rsidRDefault="00000000">
            <w:pPr>
              <w:numPr>
                <w:ilvl w:val="0"/>
                <w:numId w:val="1"/>
              </w:numPr>
              <w:spacing w:line="276" w:lineRule="auto"/>
              <w:jc w:val="both"/>
              <w:rPr>
                <w:sz w:val="20"/>
                <w:szCs w:val="20"/>
              </w:rPr>
            </w:pPr>
            <w:r>
              <w:rPr>
                <w:b/>
                <w:bCs/>
                <w:sz w:val="20"/>
                <w:szCs w:val="20"/>
              </w:rPr>
              <w:t>Financial proposal</w:t>
            </w:r>
            <w:r>
              <w:rPr>
                <w:sz w:val="20"/>
                <w:szCs w:val="20"/>
              </w:rPr>
              <w:t xml:space="preserve"> including proposed management of seed capital, revolving fund, and sustainability measures. </w:t>
            </w:r>
          </w:p>
          <w:p w14:paraId="01328596" w14:textId="77777777" w:rsidR="008C4632" w:rsidRDefault="00000000">
            <w:pPr>
              <w:numPr>
                <w:ilvl w:val="0"/>
                <w:numId w:val="1"/>
              </w:numPr>
              <w:spacing w:line="276" w:lineRule="auto"/>
              <w:jc w:val="both"/>
              <w:rPr>
                <w:sz w:val="20"/>
                <w:szCs w:val="20"/>
              </w:rPr>
            </w:pPr>
            <w:r>
              <w:rPr>
                <w:b/>
                <w:bCs/>
                <w:sz w:val="20"/>
                <w:szCs w:val="20"/>
              </w:rPr>
              <w:t>Evidence of experience</w:t>
            </w:r>
            <w:r>
              <w:rPr>
                <w:sz w:val="20"/>
                <w:szCs w:val="20"/>
              </w:rPr>
              <w:t xml:space="preserve"> with similar projects, including references, contacts, or reports. </w:t>
            </w:r>
          </w:p>
          <w:p w14:paraId="0A3B742F" w14:textId="77777777" w:rsidR="008C4632" w:rsidRDefault="00000000">
            <w:pPr>
              <w:numPr>
                <w:ilvl w:val="0"/>
                <w:numId w:val="1"/>
              </w:numPr>
              <w:spacing w:line="276" w:lineRule="auto"/>
              <w:jc w:val="both"/>
              <w:rPr>
                <w:sz w:val="20"/>
                <w:szCs w:val="20"/>
              </w:rPr>
            </w:pPr>
            <w:r>
              <w:rPr>
                <w:b/>
                <w:bCs/>
                <w:sz w:val="20"/>
                <w:szCs w:val="20"/>
              </w:rPr>
              <w:t>Staff qualifications</w:t>
            </w:r>
            <w:r>
              <w:rPr>
                <w:sz w:val="20"/>
                <w:szCs w:val="20"/>
              </w:rPr>
              <w:t xml:space="preserve"> relevant to implementation, including loan officers, community mobilizers, and M&amp;E personnel. </w:t>
            </w:r>
          </w:p>
          <w:p w14:paraId="25E4D464" w14:textId="77777777" w:rsidR="008C4632" w:rsidRDefault="008C4632">
            <w:pPr>
              <w:spacing w:line="276" w:lineRule="auto"/>
              <w:jc w:val="both"/>
              <w:rPr>
                <w:sz w:val="20"/>
                <w:szCs w:val="20"/>
              </w:rPr>
            </w:pPr>
          </w:p>
        </w:tc>
      </w:tr>
      <w:tr w:rsidR="008C4632" w14:paraId="36455AFD" w14:textId="77777777">
        <w:tc>
          <w:tcPr>
            <w:tcW w:w="9016" w:type="dxa"/>
          </w:tcPr>
          <w:p w14:paraId="71BC9564" w14:textId="77777777" w:rsidR="008C4632" w:rsidRDefault="00000000">
            <w:pPr>
              <w:spacing w:line="276" w:lineRule="auto"/>
              <w:rPr>
                <w:b/>
                <w:bCs/>
                <w:sz w:val="20"/>
                <w:szCs w:val="20"/>
              </w:rPr>
            </w:pPr>
            <w:r>
              <w:rPr>
                <w:b/>
                <w:bCs/>
                <w:sz w:val="20"/>
                <w:szCs w:val="20"/>
              </w:rPr>
              <w:t xml:space="preserve">Financial Proposal </w:t>
            </w:r>
          </w:p>
          <w:p w14:paraId="6ABC1835" w14:textId="77777777" w:rsidR="008C4632" w:rsidRDefault="00000000">
            <w:pPr>
              <w:spacing w:line="276" w:lineRule="auto"/>
              <w:rPr>
                <w:sz w:val="20"/>
                <w:szCs w:val="20"/>
              </w:rPr>
            </w:pPr>
            <w:r>
              <w:rPr>
                <w:sz w:val="20"/>
                <w:szCs w:val="20"/>
              </w:rPr>
              <w:t>The bidder shall complete the table by entering the total cost in USD for Activities 1, 2, 3 and 5, with a separate cost breakdown. For Activity 4, the bidder shall enter only the MFI service commission rate (%) and explain separately how it is calculated for 185 households. Seed capital shall be shown separately from service costs and commission.</w:t>
            </w:r>
          </w:p>
          <w:tbl>
            <w:tblPr>
              <w:tblStyle w:val="a2"/>
              <w:tblW w:w="8665" w:type="dxa"/>
              <w:tblInd w:w="0" w:type="dxa"/>
              <w:tblLayout w:type="fixed"/>
              <w:tblLook w:val="0400" w:firstRow="0" w:lastRow="0" w:firstColumn="0" w:lastColumn="0" w:noHBand="0" w:noVBand="1"/>
            </w:tblPr>
            <w:tblGrid>
              <w:gridCol w:w="539"/>
              <w:gridCol w:w="3438"/>
              <w:gridCol w:w="1240"/>
              <w:gridCol w:w="1450"/>
              <w:gridCol w:w="1998"/>
            </w:tblGrid>
            <w:tr w:rsidR="008C4632" w14:paraId="05171F90" w14:textId="77777777">
              <w:trPr>
                <w:trHeight w:val="410"/>
              </w:trPr>
              <w:tc>
                <w:tcPr>
                  <w:tcW w:w="539" w:type="dxa"/>
                  <w:tcBorders>
                    <w:top w:val="single" w:sz="4" w:space="0" w:color="000000"/>
                    <w:left w:val="single" w:sz="4" w:space="0" w:color="000000"/>
                    <w:bottom w:val="single" w:sz="4" w:space="0" w:color="000000"/>
                    <w:right w:val="single" w:sz="4" w:space="0" w:color="000000"/>
                  </w:tcBorders>
                  <w:vAlign w:val="center"/>
                </w:tcPr>
                <w:p w14:paraId="4CF9A542" w14:textId="77777777" w:rsidR="008C4632" w:rsidRDefault="00000000">
                  <w:pPr>
                    <w:spacing w:after="0" w:line="240" w:lineRule="auto"/>
                    <w:rPr>
                      <w:rFonts w:ascii="Aptos Narrow" w:eastAsia="Aptos Narrow" w:hAnsi="Aptos Narrow" w:cs="Aptos Narrow"/>
                      <w:b/>
                      <w:bCs/>
                      <w:color w:val="000000"/>
                      <w:sz w:val="20"/>
                      <w:szCs w:val="20"/>
                    </w:rPr>
                  </w:pPr>
                  <w:r>
                    <w:rPr>
                      <w:rFonts w:ascii="Aptos Narrow" w:eastAsia="Aptos Narrow" w:hAnsi="Aptos Narrow" w:cs="Aptos Narrow"/>
                      <w:b/>
                      <w:bCs/>
                      <w:color w:val="000000"/>
                      <w:sz w:val="20"/>
                      <w:szCs w:val="20"/>
                    </w:rPr>
                    <w:lastRenderedPageBreak/>
                    <w:t>No.</w:t>
                  </w:r>
                </w:p>
              </w:tc>
              <w:tc>
                <w:tcPr>
                  <w:tcW w:w="3438" w:type="dxa"/>
                  <w:tcBorders>
                    <w:top w:val="single" w:sz="4" w:space="0" w:color="000000"/>
                    <w:left w:val="nil"/>
                    <w:bottom w:val="single" w:sz="4" w:space="0" w:color="000000"/>
                    <w:right w:val="single" w:sz="4" w:space="0" w:color="000000"/>
                  </w:tcBorders>
                  <w:vAlign w:val="center"/>
                </w:tcPr>
                <w:p w14:paraId="2045C66C" w14:textId="77777777" w:rsidR="008C4632" w:rsidRDefault="00000000">
                  <w:pPr>
                    <w:spacing w:after="0" w:line="240" w:lineRule="auto"/>
                    <w:rPr>
                      <w:rFonts w:ascii="Aptos Narrow" w:eastAsia="Aptos Narrow" w:hAnsi="Aptos Narrow" w:cs="Aptos Narrow"/>
                      <w:b/>
                      <w:bCs/>
                      <w:color w:val="000000"/>
                      <w:sz w:val="20"/>
                      <w:szCs w:val="20"/>
                    </w:rPr>
                  </w:pPr>
                  <w:r>
                    <w:rPr>
                      <w:rFonts w:ascii="Aptos Narrow" w:eastAsia="Aptos Narrow" w:hAnsi="Aptos Narrow" w:cs="Aptos Narrow"/>
                      <w:b/>
                      <w:bCs/>
                      <w:color w:val="000000"/>
                      <w:sz w:val="20"/>
                      <w:szCs w:val="20"/>
                    </w:rPr>
                    <w:t>Description</w:t>
                  </w:r>
                </w:p>
              </w:tc>
              <w:tc>
                <w:tcPr>
                  <w:tcW w:w="1240" w:type="dxa"/>
                  <w:tcBorders>
                    <w:top w:val="single" w:sz="4" w:space="0" w:color="000000"/>
                    <w:left w:val="nil"/>
                    <w:bottom w:val="single" w:sz="4" w:space="0" w:color="000000"/>
                    <w:right w:val="single" w:sz="4" w:space="0" w:color="000000"/>
                  </w:tcBorders>
                  <w:vAlign w:val="center"/>
                </w:tcPr>
                <w:p w14:paraId="2FD9D0DC" w14:textId="77777777" w:rsidR="008C4632" w:rsidRDefault="00000000">
                  <w:pPr>
                    <w:spacing w:after="0" w:line="240" w:lineRule="auto"/>
                    <w:rPr>
                      <w:rFonts w:ascii="Aptos Narrow" w:eastAsia="Aptos Narrow" w:hAnsi="Aptos Narrow" w:cs="Aptos Narrow"/>
                      <w:b/>
                      <w:bCs/>
                      <w:color w:val="000000"/>
                      <w:sz w:val="20"/>
                      <w:szCs w:val="20"/>
                    </w:rPr>
                  </w:pPr>
                  <w:r>
                    <w:rPr>
                      <w:rFonts w:ascii="Aptos Narrow" w:eastAsia="Aptos Narrow" w:hAnsi="Aptos Narrow" w:cs="Aptos Narrow"/>
                      <w:b/>
                      <w:bCs/>
                      <w:color w:val="000000"/>
                      <w:sz w:val="20"/>
                      <w:szCs w:val="20"/>
                    </w:rPr>
                    <w:t>Quantity</w:t>
                  </w:r>
                </w:p>
              </w:tc>
              <w:tc>
                <w:tcPr>
                  <w:tcW w:w="1450" w:type="dxa"/>
                  <w:tcBorders>
                    <w:top w:val="single" w:sz="4" w:space="0" w:color="000000"/>
                    <w:left w:val="nil"/>
                    <w:bottom w:val="single" w:sz="4" w:space="0" w:color="000000"/>
                    <w:right w:val="single" w:sz="4" w:space="0" w:color="000000"/>
                  </w:tcBorders>
                  <w:vAlign w:val="center"/>
                </w:tcPr>
                <w:p w14:paraId="522E6788" w14:textId="77777777" w:rsidR="008C4632" w:rsidRDefault="00000000">
                  <w:pPr>
                    <w:spacing w:after="0" w:line="240" w:lineRule="auto"/>
                    <w:rPr>
                      <w:rFonts w:ascii="Aptos Narrow" w:eastAsia="Aptos Narrow" w:hAnsi="Aptos Narrow" w:cs="Aptos Narrow"/>
                      <w:b/>
                      <w:bCs/>
                      <w:color w:val="000000"/>
                      <w:sz w:val="20"/>
                      <w:szCs w:val="20"/>
                    </w:rPr>
                  </w:pPr>
                  <w:r>
                    <w:rPr>
                      <w:rFonts w:ascii="Aptos Narrow" w:eastAsia="Aptos Narrow" w:hAnsi="Aptos Narrow" w:cs="Aptos Narrow"/>
                      <w:b/>
                      <w:bCs/>
                      <w:color w:val="000000"/>
                      <w:sz w:val="20"/>
                      <w:szCs w:val="20"/>
                    </w:rPr>
                    <w:t>Amount (USD) / Rate (%)</w:t>
                  </w:r>
                </w:p>
              </w:tc>
              <w:tc>
                <w:tcPr>
                  <w:tcW w:w="1998" w:type="dxa"/>
                  <w:tcBorders>
                    <w:top w:val="single" w:sz="4" w:space="0" w:color="000000"/>
                    <w:left w:val="nil"/>
                    <w:bottom w:val="single" w:sz="4" w:space="0" w:color="000000"/>
                    <w:right w:val="single" w:sz="4" w:space="0" w:color="000000"/>
                  </w:tcBorders>
                  <w:vAlign w:val="center"/>
                </w:tcPr>
                <w:p w14:paraId="59469D8D" w14:textId="77777777" w:rsidR="008C4632" w:rsidRDefault="00000000">
                  <w:pPr>
                    <w:spacing w:after="0" w:line="240" w:lineRule="auto"/>
                    <w:rPr>
                      <w:rFonts w:ascii="Aptos Narrow" w:eastAsia="Aptos Narrow" w:hAnsi="Aptos Narrow" w:cs="Aptos Narrow"/>
                      <w:b/>
                      <w:bCs/>
                      <w:color w:val="000000"/>
                      <w:sz w:val="20"/>
                      <w:szCs w:val="20"/>
                    </w:rPr>
                  </w:pPr>
                  <w:r>
                    <w:rPr>
                      <w:rFonts w:ascii="Aptos Narrow" w:eastAsia="Aptos Narrow" w:hAnsi="Aptos Narrow" w:cs="Aptos Narrow"/>
                      <w:b/>
                      <w:bCs/>
                      <w:color w:val="000000"/>
                      <w:sz w:val="20"/>
                      <w:szCs w:val="20"/>
                    </w:rPr>
                    <w:t>Expected Results</w:t>
                  </w:r>
                </w:p>
              </w:tc>
            </w:tr>
            <w:tr w:rsidR="008C4632" w14:paraId="2D6EE67F" w14:textId="77777777">
              <w:trPr>
                <w:trHeight w:val="821"/>
              </w:trPr>
              <w:tc>
                <w:tcPr>
                  <w:tcW w:w="539" w:type="dxa"/>
                  <w:tcBorders>
                    <w:top w:val="nil"/>
                    <w:left w:val="single" w:sz="4" w:space="0" w:color="000000"/>
                    <w:bottom w:val="single" w:sz="4" w:space="0" w:color="000000"/>
                    <w:right w:val="single" w:sz="4" w:space="0" w:color="000000"/>
                  </w:tcBorders>
                  <w:vAlign w:val="center"/>
                </w:tcPr>
                <w:p w14:paraId="63229C05"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1</w:t>
                  </w:r>
                </w:p>
              </w:tc>
              <w:tc>
                <w:tcPr>
                  <w:tcW w:w="3438" w:type="dxa"/>
                  <w:tcBorders>
                    <w:top w:val="nil"/>
                    <w:left w:val="nil"/>
                    <w:bottom w:val="single" w:sz="4" w:space="0" w:color="000000"/>
                    <w:right w:val="single" w:sz="4" w:space="0" w:color="000000"/>
                  </w:tcBorders>
                  <w:vAlign w:val="center"/>
                </w:tcPr>
                <w:p w14:paraId="41C85B4F"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Design and pilot pro-poor water connection financing products, including eligibility criteria, financing terms, disbursement procedures and repayment integration with the Water Utility.</w:t>
                  </w:r>
                </w:p>
              </w:tc>
              <w:tc>
                <w:tcPr>
                  <w:tcW w:w="1240" w:type="dxa"/>
                  <w:tcBorders>
                    <w:top w:val="nil"/>
                    <w:left w:val="nil"/>
                    <w:bottom w:val="single" w:sz="4" w:space="0" w:color="000000"/>
                    <w:right w:val="single" w:sz="4" w:space="0" w:color="000000"/>
                  </w:tcBorders>
                  <w:vAlign w:val="center"/>
                </w:tcPr>
                <w:p w14:paraId="3E63CA54"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185 households</w:t>
                  </w:r>
                </w:p>
              </w:tc>
              <w:tc>
                <w:tcPr>
                  <w:tcW w:w="1450" w:type="dxa"/>
                  <w:tcBorders>
                    <w:top w:val="nil"/>
                    <w:left w:val="nil"/>
                    <w:bottom w:val="single" w:sz="4" w:space="0" w:color="000000"/>
                    <w:right w:val="single" w:sz="4" w:space="0" w:color="000000"/>
                  </w:tcBorders>
                  <w:vAlign w:val="center"/>
                </w:tcPr>
                <w:p w14:paraId="1555D02F"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USD ______</w:t>
                  </w:r>
                </w:p>
              </w:tc>
              <w:tc>
                <w:tcPr>
                  <w:tcW w:w="1998" w:type="dxa"/>
                  <w:tcBorders>
                    <w:top w:val="nil"/>
                    <w:left w:val="nil"/>
                    <w:bottom w:val="single" w:sz="4" w:space="0" w:color="000000"/>
                    <w:right w:val="single" w:sz="4" w:space="0" w:color="000000"/>
                  </w:tcBorders>
                  <w:vAlign w:val="center"/>
                </w:tcPr>
                <w:p w14:paraId="1820627C"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Financing products developed and piloted, with clear eligibility criteria, affordable repayment terms and procedures agreed with the Water Utility.</w:t>
                  </w:r>
                </w:p>
              </w:tc>
            </w:tr>
            <w:tr w:rsidR="008C4632" w14:paraId="269DCF85" w14:textId="77777777">
              <w:trPr>
                <w:trHeight w:val="616"/>
              </w:trPr>
              <w:tc>
                <w:tcPr>
                  <w:tcW w:w="539" w:type="dxa"/>
                  <w:tcBorders>
                    <w:top w:val="nil"/>
                    <w:left w:val="single" w:sz="4" w:space="0" w:color="000000"/>
                    <w:bottom w:val="single" w:sz="4" w:space="0" w:color="000000"/>
                    <w:right w:val="single" w:sz="4" w:space="0" w:color="000000"/>
                  </w:tcBorders>
                  <w:vAlign w:val="center"/>
                </w:tcPr>
                <w:p w14:paraId="128D5980"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2</w:t>
                  </w:r>
                </w:p>
              </w:tc>
              <w:tc>
                <w:tcPr>
                  <w:tcW w:w="3438" w:type="dxa"/>
                  <w:tcBorders>
                    <w:top w:val="nil"/>
                    <w:left w:val="nil"/>
                    <w:bottom w:val="single" w:sz="4" w:space="0" w:color="000000"/>
                    <w:right w:val="single" w:sz="4" w:space="0" w:color="000000"/>
                  </w:tcBorders>
                  <w:vAlign w:val="center"/>
                </w:tcPr>
                <w:p w14:paraId="53AF424A"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Mobilize and enroll low-income households through community-led targeting, awareness activities and client recruitment.</w:t>
                  </w:r>
                </w:p>
              </w:tc>
              <w:tc>
                <w:tcPr>
                  <w:tcW w:w="1240" w:type="dxa"/>
                  <w:tcBorders>
                    <w:top w:val="nil"/>
                    <w:left w:val="nil"/>
                    <w:bottom w:val="single" w:sz="4" w:space="0" w:color="000000"/>
                    <w:right w:val="single" w:sz="4" w:space="0" w:color="000000"/>
                  </w:tcBorders>
                  <w:vAlign w:val="center"/>
                </w:tcPr>
                <w:p w14:paraId="058EF2F8"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185 households</w:t>
                  </w:r>
                </w:p>
              </w:tc>
              <w:tc>
                <w:tcPr>
                  <w:tcW w:w="1450" w:type="dxa"/>
                  <w:tcBorders>
                    <w:top w:val="nil"/>
                    <w:left w:val="nil"/>
                    <w:bottom w:val="single" w:sz="4" w:space="0" w:color="000000"/>
                    <w:right w:val="single" w:sz="4" w:space="0" w:color="000000"/>
                  </w:tcBorders>
                  <w:vAlign w:val="center"/>
                </w:tcPr>
                <w:p w14:paraId="580BBEA7"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USD ______</w:t>
                  </w:r>
                </w:p>
              </w:tc>
              <w:tc>
                <w:tcPr>
                  <w:tcW w:w="1998" w:type="dxa"/>
                  <w:tcBorders>
                    <w:top w:val="nil"/>
                    <w:left w:val="nil"/>
                    <w:bottom w:val="single" w:sz="4" w:space="0" w:color="000000"/>
                    <w:right w:val="single" w:sz="4" w:space="0" w:color="000000"/>
                  </w:tcBorders>
                  <w:vAlign w:val="center"/>
                </w:tcPr>
                <w:p w14:paraId="559DED1A"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At least 185 eligible low-income households identified, informed about the financing mechanism and enrolled.</w:t>
                  </w:r>
                </w:p>
              </w:tc>
            </w:tr>
            <w:tr w:rsidR="008C4632" w14:paraId="7A69A54D" w14:textId="77777777">
              <w:trPr>
                <w:trHeight w:val="616"/>
              </w:trPr>
              <w:tc>
                <w:tcPr>
                  <w:tcW w:w="539" w:type="dxa"/>
                  <w:tcBorders>
                    <w:top w:val="nil"/>
                    <w:left w:val="single" w:sz="4" w:space="0" w:color="000000"/>
                    <w:bottom w:val="single" w:sz="4" w:space="0" w:color="000000"/>
                    <w:right w:val="single" w:sz="4" w:space="0" w:color="000000"/>
                  </w:tcBorders>
                  <w:vAlign w:val="center"/>
                </w:tcPr>
                <w:p w14:paraId="0F2EE953"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3</w:t>
                  </w:r>
                </w:p>
              </w:tc>
              <w:tc>
                <w:tcPr>
                  <w:tcW w:w="3438" w:type="dxa"/>
                  <w:tcBorders>
                    <w:top w:val="nil"/>
                    <w:left w:val="nil"/>
                    <w:bottom w:val="single" w:sz="4" w:space="0" w:color="000000"/>
                    <w:right w:val="single" w:sz="4" w:space="0" w:color="000000"/>
                  </w:tcBorders>
                  <w:vAlign w:val="center"/>
                </w:tcPr>
                <w:p w14:paraId="15B9DDFC"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Prepare socio-economic and water service access profiles for beneficiary households.</w:t>
                  </w:r>
                </w:p>
              </w:tc>
              <w:tc>
                <w:tcPr>
                  <w:tcW w:w="1240" w:type="dxa"/>
                  <w:tcBorders>
                    <w:top w:val="nil"/>
                    <w:left w:val="nil"/>
                    <w:bottom w:val="single" w:sz="4" w:space="0" w:color="000000"/>
                    <w:right w:val="single" w:sz="4" w:space="0" w:color="000000"/>
                  </w:tcBorders>
                  <w:vAlign w:val="center"/>
                </w:tcPr>
                <w:p w14:paraId="1685D54E"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185 households</w:t>
                  </w:r>
                </w:p>
              </w:tc>
              <w:tc>
                <w:tcPr>
                  <w:tcW w:w="1450" w:type="dxa"/>
                  <w:tcBorders>
                    <w:top w:val="nil"/>
                    <w:left w:val="nil"/>
                    <w:bottom w:val="single" w:sz="4" w:space="0" w:color="000000"/>
                    <w:right w:val="single" w:sz="4" w:space="0" w:color="000000"/>
                  </w:tcBorders>
                  <w:vAlign w:val="center"/>
                </w:tcPr>
                <w:p w14:paraId="2754D320"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USD ______</w:t>
                  </w:r>
                </w:p>
              </w:tc>
              <w:tc>
                <w:tcPr>
                  <w:tcW w:w="1998" w:type="dxa"/>
                  <w:tcBorders>
                    <w:top w:val="nil"/>
                    <w:left w:val="nil"/>
                    <w:bottom w:val="single" w:sz="4" w:space="0" w:color="000000"/>
                    <w:right w:val="single" w:sz="4" w:space="0" w:color="000000"/>
                  </w:tcBorders>
                  <w:vAlign w:val="center"/>
                </w:tcPr>
                <w:p w14:paraId="7C343888"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Complete and verified profiles prepared for 185 households to support eligibility assessment and monitoring.</w:t>
                  </w:r>
                </w:p>
              </w:tc>
            </w:tr>
            <w:tr w:rsidR="008C4632" w14:paraId="00AA55FF" w14:textId="77777777">
              <w:trPr>
                <w:trHeight w:val="1437"/>
              </w:trPr>
              <w:tc>
                <w:tcPr>
                  <w:tcW w:w="539" w:type="dxa"/>
                  <w:tcBorders>
                    <w:top w:val="nil"/>
                    <w:left w:val="single" w:sz="4" w:space="0" w:color="000000"/>
                    <w:bottom w:val="single" w:sz="4" w:space="0" w:color="000000"/>
                    <w:right w:val="single" w:sz="4" w:space="0" w:color="000000"/>
                  </w:tcBorders>
                  <w:vAlign w:val="center"/>
                </w:tcPr>
                <w:p w14:paraId="41F76A64"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4</w:t>
                  </w:r>
                </w:p>
              </w:tc>
              <w:tc>
                <w:tcPr>
                  <w:tcW w:w="3438" w:type="dxa"/>
                  <w:tcBorders>
                    <w:top w:val="nil"/>
                    <w:left w:val="nil"/>
                    <w:bottom w:val="single" w:sz="4" w:space="0" w:color="000000"/>
                    <w:right w:val="single" w:sz="4" w:space="0" w:color="000000"/>
                  </w:tcBorders>
                  <w:vAlign w:val="center"/>
                </w:tcPr>
                <w:p w14:paraId="4BB95C10"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Facilitate household water connections jointly with the Water Utility; manage financing disbursements and repayments; and reinvest recovered funds to sustain the revolving portfolio.</w:t>
                  </w:r>
                </w:p>
              </w:tc>
              <w:tc>
                <w:tcPr>
                  <w:tcW w:w="1240" w:type="dxa"/>
                  <w:tcBorders>
                    <w:top w:val="nil"/>
                    <w:left w:val="nil"/>
                    <w:bottom w:val="single" w:sz="4" w:space="0" w:color="000000"/>
                    <w:right w:val="single" w:sz="4" w:space="0" w:color="000000"/>
                  </w:tcBorders>
                  <w:vAlign w:val="center"/>
                </w:tcPr>
                <w:p w14:paraId="210DB492"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185 households</w:t>
                  </w:r>
                </w:p>
              </w:tc>
              <w:tc>
                <w:tcPr>
                  <w:tcW w:w="1450" w:type="dxa"/>
                  <w:tcBorders>
                    <w:top w:val="nil"/>
                    <w:left w:val="nil"/>
                    <w:bottom w:val="single" w:sz="4" w:space="0" w:color="000000"/>
                    <w:right w:val="single" w:sz="4" w:space="0" w:color="000000"/>
                  </w:tcBorders>
                  <w:vAlign w:val="center"/>
                </w:tcPr>
                <w:p w14:paraId="25D507F4" w14:textId="77777777" w:rsidR="008C4632" w:rsidRDefault="00000000">
                  <w:pPr>
                    <w:spacing w:after="0" w:line="240" w:lineRule="auto"/>
                    <w:rPr>
                      <w:rFonts w:ascii="Aptos Narrow" w:eastAsia="Aptos Narrow" w:hAnsi="Aptos Narrow" w:cs="Aptos Narrow"/>
                      <w:b/>
                      <w:bCs/>
                      <w:color w:val="000000"/>
                      <w:sz w:val="20"/>
                      <w:szCs w:val="20"/>
                    </w:rPr>
                  </w:pPr>
                  <w:r>
                    <w:rPr>
                      <w:rFonts w:ascii="Aptos Narrow" w:eastAsia="Aptos Narrow" w:hAnsi="Aptos Narrow" w:cs="Aptos Narrow"/>
                      <w:b/>
                      <w:bCs/>
                      <w:color w:val="000000"/>
                      <w:sz w:val="20"/>
                      <w:szCs w:val="20"/>
                    </w:rPr>
                    <w:t>MFI commission: ______%</w:t>
                  </w:r>
                </w:p>
              </w:tc>
              <w:tc>
                <w:tcPr>
                  <w:tcW w:w="1998" w:type="dxa"/>
                  <w:tcBorders>
                    <w:top w:val="nil"/>
                    <w:left w:val="nil"/>
                    <w:bottom w:val="single" w:sz="4" w:space="0" w:color="000000"/>
                    <w:right w:val="single" w:sz="4" w:space="0" w:color="000000"/>
                  </w:tcBorders>
                  <w:vAlign w:val="center"/>
                </w:tcPr>
                <w:p w14:paraId="789ED6FB"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 xml:space="preserve">At least 185 low-income households connected to the water grid, with financing disbursed, repayments tracked and recovered funds reinvested in additional connections. </w:t>
                  </w:r>
                  <w:r>
                    <w:rPr>
                      <w:rFonts w:ascii="Aptos Narrow" w:eastAsia="Aptos Narrow" w:hAnsi="Aptos Narrow" w:cs="Aptos Narrow"/>
                      <w:b/>
                      <w:bCs/>
                      <w:color w:val="000000"/>
                      <w:sz w:val="20"/>
                      <w:szCs w:val="20"/>
                    </w:rPr>
                    <w:t xml:space="preserve">Indicate only the proposed MFI service commission rate (%) for 24 months </w:t>
                  </w:r>
                </w:p>
              </w:tc>
            </w:tr>
            <w:tr w:rsidR="008C4632" w14:paraId="211AE8C5" w14:textId="77777777">
              <w:trPr>
                <w:trHeight w:val="821"/>
              </w:trPr>
              <w:tc>
                <w:tcPr>
                  <w:tcW w:w="539" w:type="dxa"/>
                  <w:tcBorders>
                    <w:top w:val="nil"/>
                    <w:left w:val="single" w:sz="4" w:space="0" w:color="000000"/>
                    <w:bottom w:val="single" w:sz="4" w:space="0" w:color="000000"/>
                    <w:right w:val="single" w:sz="4" w:space="0" w:color="000000"/>
                  </w:tcBorders>
                  <w:vAlign w:val="center"/>
                </w:tcPr>
                <w:p w14:paraId="21B1C006"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5</w:t>
                  </w:r>
                </w:p>
              </w:tc>
              <w:tc>
                <w:tcPr>
                  <w:tcW w:w="3438" w:type="dxa"/>
                  <w:tcBorders>
                    <w:top w:val="nil"/>
                    <w:left w:val="nil"/>
                    <w:bottom w:val="single" w:sz="4" w:space="0" w:color="000000"/>
                    <w:right w:val="single" w:sz="4" w:space="0" w:color="000000"/>
                  </w:tcBorders>
                  <w:vAlign w:val="center"/>
                </w:tcPr>
                <w:p w14:paraId="3B207C59"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Conduct community awareness campaigns explaining access to financing, eligibility criteria and repayment through the utility billing system.</w:t>
                  </w:r>
                </w:p>
              </w:tc>
              <w:tc>
                <w:tcPr>
                  <w:tcW w:w="1240" w:type="dxa"/>
                  <w:tcBorders>
                    <w:top w:val="nil"/>
                    <w:left w:val="nil"/>
                    <w:bottom w:val="single" w:sz="4" w:space="0" w:color="000000"/>
                    <w:right w:val="single" w:sz="4" w:space="0" w:color="000000"/>
                  </w:tcBorders>
                  <w:vAlign w:val="center"/>
                </w:tcPr>
                <w:p w14:paraId="684F4353"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185 households</w:t>
                  </w:r>
                </w:p>
              </w:tc>
              <w:tc>
                <w:tcPr>
                  <w:tcW w:w="1450" w:type="dxa"/>
                  <w:tcBorders>
                    <w:top w:val="nil"/>
                    <w:left w:val="nil"/>
                    <w:bottom w:val="single" w:sz="4" w:space="0" w:color="000000"/>
                    <w:right w:val="single" w:sz="4" w:space="0" w:color="000000"/>
                  </w:tcBorders>
                  <w:vAlign w:val="center"/>
                </w:tcPr>
                <w:p w14:paraId="43D6B958"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USD ______</w:t>
                  </w:r>
                </w:p>
              </w:tc>
              <w:tc>
                <w:tcPr>
                  <w:tcW w:w="1998" w:type="dxa"/>
                  <w:tcBorders>
                    <w:top w:val="nil"/>
                    <w:left w:val="nil"/>
                    <w:bottom w:val="single" w:sz="4" w:space="0" w:color="000000"/>
                    <w:right w:val="single" w:sz="4" w:space="0" w:color="000000"/>
                  </w:tcBorders>
                  <w:vAlign w:val="center"/>
                </w:tcPr>
                <w:p w14:paraId="1F9137EB" w14:textId="77777777" w:rsidR="008C4632"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At least 185 households reached with clear information on financing eligibility, application procedures and repayment obligations.</w:t>
                  </w:r>
                </w:p>
              </w:tc>
            </w:tr>
          </w:tbl>
          <w:p w14:paraId="2060A276" w14:textId="77777777" w:rsidR="008C4632" w:rsidRDefault="008C4632">
            <w:pPr>
              <w:spacing w:line="276" w:lineRule="auto"/>
              <w:rPr>
                <w:b/>
                <w:bCs/>
                <w:sz w:val="20"/>
                <w:szCs w:val="20"/>
              </w:rPr>
            </w:pPr>
          </w:p>
        </w:tc>
      </w:tr>
      <w:tr w:rsidR="008C4632" w14:paraId="7AF93713" w14:textId="77777777">
        <w:tc>
          <w:tcPr>
            <w:tcW w:w="9016" w:type="dxa"/>
          </w:tcPr>
          <w:p w14:paraId="1DC078C0" w14:textId="77777777" w:rsidR="008C4632" w:rsidRDefault="00000000">
            <w:pPr>
              <w:spacing w:line="276" w:lineRule="auto"/>
              <w:jc w:val="both"/>
              <w:rPr>
                <w:sz w:val="20"/>
                <w:szCs w:val="20"/>
              </w:rPr>
            </w:pPr>
            <w:r>
              <w:rPr>
                <w:b/>
                <w:bCs/>
                <w:sz w:val="20"/>
                <w:szCs w:val="20"/>
              </w:rPr>
              <w:lastRenderedPageBreak/>
              <w:t>Submission Details:</w:t>
            </w:r>
          </w:p>
          <w:p w14:paraId="7BE5133F" w14:textId="77777777" w:rsidR="008C4632" w:rsidRDefault="00000000">
            <w:pPr>
              <w:spacing w:line="276" w:lineRule="auto"/>
              <w:jc w:val="both"/>
              <w:rPr>
                <w:sz w:val="20"/>
                <w:szCs w:val="20"/>
              </w:rPr>
            </w:pPr>
            <w:r>
              <w:rPr>
                <w:b/>
                <w:bCs/>
                <w:sz w:val="20"/>
                <w:szCs w:val="20"/>
              </w:rPr>
              <w:t>Deadline for Submission:</w:t>
            </w:r>
            <w:r>
              <w:rPr>
                <w:sz w:val="20"/>
                <w:szCs w:val="20"/>
              </w:rPr>
              <w:t xml:space="preserve"> </w:t>
            </w:r>
            <w:r>
              <w:rPr>
                <w:b/>
                <w:bCs/>
                <w:sz w:val="20"/>
                <w:szCs w:val="20"/>
              </w:rPr>
              <w:t>11/NOV/2026,</w:t>
            </w:r>
            <w:r>
              <w:t xml:space="preserve"> </w:t>
            </w:r>
            <w:r>
              <w:rPr>
                <w:b/>
                <w:bCs/>
                <w:sz w:val="20"/>
                <w:szCs w:val="20"/>
              </w:rPr>
              <w:t>3:59 PM Somalia time (UTC+3)</w:t>
            </w:r>
          </w:p>
          <w:p w14:paraId="1E204C41" w14:textId="77777777" w:rsidR="008C4632" w:rsidRDefault="00000000">
            <w:pPr>
              <w:spacing w:line="276" w:lineRule="auto"/>
              <w:jc w:val="both"/>
              <w:rPr>
                <w:sz w:val="20"/>
                <w:szCs w:val="20"/>
              </w:rPr>
            </w:pPr>
            <w:r>
              <w:rPr>
                <w:b/>
                <w:bCs/>
                <w:sz w:val="20"/>
                <w:szCs w:val="20"/>
              </w:rPr>
              <w:t>Submission Address:</w:t>
            </w:r>
            <w:r>
              <w:rPr>
                <w:sz w:val="20"/>
                <w:szCs w:val="20"/>
              </w:rPr>
              <w:t xml:space="preserve"> </w:t>
            </w:r>
            <w:hyperlink r:id="rId6">
              <w:r>
                <w:rPr>
                  <w:color w:val="467886"/>
                  <w:sz w:val="20"/>
                  <w:szCs w:val="20"/>
                  <w:u w:val="single"/>
                </w:rPr>
                <w:t>procurementjssmoewr@gmail.com</w:t>
              </w:r>
            </w:hyperlink>
            <w:r>
              <w:rPr>
                <w:sz w:val="20"/>
                <w:szCs w:val="20"/>
              </w:rPr>
              <w:t xml:space="preserve"> cc, </w:t>
            </w:r>
            <w:hyperlink r:id="rId7">
              <w:r>
                <w:rPr>
                  <w:color w:val="467886"/>
                  <w:sz w:val="20"/>
                  <w:szCs w:val="20"/>
                  <w:u w:val="single"/>
                </w:rPr>
                <w:t>hradminfin-moewr@jubalandstate.so</w:t>
              </w:r>
            </w:hyperlink>
            <w:r>
              <w:rPr>
                <w:sz w:val="20"/>
                <w:szCs w:val="20"/>
              </w:rPr>
              <w:t xml:space="preserve"> </w:t>
            </w:r>
          </w:p>
          <w:p w14:paraId="581A1089" w14:textId="77777777" w:rsidR="008C4632" w:rsidRDefault="00000000">
            <w:pPr>
              <w:spacing w:line="276" w:lineRule="auto"/>
              <w:jc w:val="both"/>
              <w:rPr>
                <w:sz w:val="20"/>
                <w:szCs w:val="20"/>
              </w:rPr>
            </w:pPr>
            <w:r>
              <w:rPr>
                <w:b/>
                <w:bCs/>
                <w:sz w:val="20"/>
                <w:szCs w:val="20"/>
              </w:rPr>
              <w:t>Submission Format:</w:t>
            </w:r>
            <w:r>
              <w:rPr>
                <w:sz w:val="20"/>
                <w:szCs w:val="20"/>
              </w:rPr>
              <w:t xml:space="preserve"> Applications should be submitted in </w:t>
            </w:r>
            <w:r>
              <w:rPr>
                <w:b/>
                <w:bCs/>
                <w:sz w:val="20"/>
                <w:szCs w:val="20"/>
              </w:rPr>
              <w:t>PDF format</w:t>
            </w:r>
            <w:r>
              <w:rPr>
                <w:sz w:val="20"/>
                <w:szCs w:val="20"/>
              </w:rPr>
              <w:t>, clearly labelled with the institution’s name and “Application for WASH-FIT MFI Partnership.”</w:t>
            </w:r>
            <w:r>
              <w:t xml:space="preserve"> </w:t>
            </w:r>
            <w:r>
              <w:rPr>
                <w:sz w:val="20"/>
                <w:szCs w:val="20"/>
              </w:rPr>
              <w:t>A printed copy may also be submitted by hand to the Ministry of Energy and Water Resources (</w:t>
            </w:r>
            <w:proofErr w:type="spellStart"/>
            <w:r>
              <w:rPr>
                <w:sz w:val="20"/>
                <w:szCs w:val="20"/>
              </w:rPr>
              <w:t>MoEWR</w:t>
            </w:r>
            <w:proofErr w:type="spellEnd"/>
            <w:r>
              <w:rPr>
                <w:sz w:val="20"/>
                <w:szCs w:val="20"/>
              </w:rPr>
              <w:t xml:space="preserve">), </w:t>
            </w:r>
            <w:proofErr w:type="spellStart"/>
            <w:r>
              <w:rPr>
                <w:sz w:val="20"/>
                <w:szCs w:val="20"/>
              </w:rPr>
              <w:t>Jubaland</w:t>
            </w:r>
            <w:proofErr w:type="spellEnd"/>
            <w:r>
              <w:t>.</w:t>
            </w:r>
          </w:p>
        </w:tc>
      </w:tr>
    </w:tbl>
    <w:p w14:paraId="45C2D5E7" w14:textId="77777777" w:rsidR="008C4632" w:rsidRDefault="008C4632">
      <w:pPr>
        <w:spacing w:line="276" w:lineRule="auto"/>
        <w:jc w:val="both"/>
        <w:rPr>
          <w:sz w:val="20"/>
          <w:szCs w:val="20"/>
        </w:rPr>
      </w:pPr>
    </w:p>
    <w:p w14:paraId="5E94DE73" w14:textId="77777777" w:rsidR="008C4632" w:rsidRDefault="008C4632">
      <w:pPr>
        <w:spacing w:line="276" w:lineRule="auto"/>
        <w:jc w:val="both"/>
        <w:rPr>
          <w:sz w:val="20"/>
          <w:szCs w:val="20"/>
        </w:rPr>
      </w:pPr>
      <w:bookmarkStart w:id="0" w:name="_fj4fpnmdjlrw" w:colFirst="0" w:colLast="0"/>
      <w:bookmarkEnd w:id="0"/>
    </w:p>
    <w:sectPr w:rsidR="008C4632">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1" w:fontKey="{810C18E0-A010-4B7D-B1CD-7E033AD5998D}"/>
    <w:embedBold r:id="rId2" w:fontKey="{C1B88042-4F9F-4B5A-B2A8-C3ED09D6AC4A}"/>
    <w:embedItalic r:id="rId3" w:fontKey="{A9E59B98-5A89-4106-8A2F-4007FD025233}"/>
  </w:font>
  <w:font w:name="Play">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embedRegular r:id="rId4" w:fontKey="{483F601B-D72A-4EDA-A640-7298622CBC8B}"/>
    <w:embedBold r:id="rId5" w:fontKey="{F33B4B46-3E0D-4ABE-B402-210B8E689DFC}"/>
  </w:font>
  <w:font w:name="Calibri">
    <w:panose1 w:val="020F0502020204030204"/>
    <w:charset w:val="00"/>
    <w:family w:val="swiss"/>
    <w:pitch w:val="variable"/>
    <w:sig w:usb0="E4002EFF" w:usb1="C200247B" w:usb2="00000009" w:usb3="00000000" w:csb0="000001FF" w:csb1="00000000"/>
    <w:embedRegular r:id="rId6" w:fontKey="{77B1AD8D-A869-41AC-820E-8787E3DEEE46}"/>
  </w:font>
  <w:font w:name="Cambria">
    <w:panose1 w:val="02040503050406030204"/>
    <w:charset w:val="00"/>
    <w:family w:val="roman"/>
    <w:pitch w:val="variable"/>
    <w:sig w:usb0="E00006FF" w:usb1="420024FF" w:usb2="02000000" w:usb3="00000000" w:csb0="0000019F" w:csb1="00000000"/>
    <w:embedRegular r:id="rId7" w:fontKey="{FD3274AC-9953-471C-AD36-263E372AD01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6A6F"/>
    <w:multiLevelType w:val="multilevel"/>
    <w:tmpl w:val="E34A26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BE32E14"/>
    <w:multiLevelType w:val="multilevel"/>
    <w:tmpl w:val="03B0AE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D8373C2"/>
    <w:multiLevelType w:val="multilevel"/>
    <w:tmpl w:val="4B80D7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00F17C2"/>
    <w:multiLevelType w:val="multilevel"/>
    <w:tmpl w:val="2474EA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2D86B2C"/>
    <w:multiLevelType w:val="multilevel"/>
    <w:tmpl w:val="92067B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7727219"/>
    <w:multiLevelType w:val="multilevel"/>
    <w:tmpl w:val="13A2A2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53C024B9"/>
    <w:multiLevelType w:val="multilevel"/>
    <w:tmpl w:val="FB988C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A75094F"/>
    <w:multiLevelType w:val="multilevel"/>
    <w:tmpl w:val="7E342D9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5B192A22"/>
    <w:multiLevelType w:val="multilevel"/>
    <w:tmpl w:val="1A28F2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62E52560"/>
    <w:multiLevelType w:val="multilevel"/>
    <w:tmpl w:val="F73C73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69C21026"/>
    <w:multiLevelType w:val="multilevel"/>
    <w:tmpl w:val="5CEC38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77B665D6"/>
    <w:multiLevelType w:val="multilevel"/>
    <w:tmpl w:val="FDFAE8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462046024">
    <w:abstractNumId w:val="7"/>
  </w:num>
  <w:num w:numId="2" w16cid:durableId="833568363">
    <w:abstractNumId w:val="11"/>
  </w:num>
  <w:num w:numId="3" w16cid:durableId="156190129">
    <w:abstractNumId w:val="0"/>
  </w:num>
  <w:num w:numId="4" w16cid:durableId="5791968">
    <w:abstractNumId w:val="2"/>
  </w:num>
  <w:num w:numId="5" w16cid:durableId="746265961">
    <w:abstractNumId w:val="9"/>
  </w:num>
  <w:num w:numId="6" w16cid:durableId="2031758633">
    <w:abstractNumId w:val="10"/>
  </w:num>
  <w:num w:numId="7" w16cid:durableId="1764761901">
    <w:abstractNumId w:val="5"/>
  </w:num>
  <w:num w:numId="8" w16cid:durableId="830291606">
    <w:abstractNumId w:val="1"/>
  </w:num>
  <w:num w:numId="9" w16cid:durableId="1964385777">
    <w:abstractNumId w:val="6"/>
  </w:num>
  <w:num w:numId="10" w16cid:durableId="1422334158">
    <w:abstractNumId w:val="4"/>
  </w:num>
  <w:num w:numId="11" w16cid:durableId="390732624">
    <w:abstractNumId w:val="8"/>
  </w:num>
  <w:num w:numId="12" w16cid:durableId="903962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632"/>
    <w:rsid w:val="008C4632"/>
    <w:rsid w:val="00B612D2"/>
    <w:rsid w:val="00BD77DF"/>
    <w:rsid w:val="00D61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1EECD"/>
  <w15:docId w15:val="{BFE43F5A-2AE0-4F90-B273-FD9B09920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radminfin-moewr@jubalandstate.s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curementjssmoewr@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2284</Words>
  <Characters>13019</Characters>
  <Application>Microsoft Office Word</Application>
  <DocSecurity>0</DocSecurity>
  <Lines>108</Lines>
  <Paragraphs>30</Paragraphs>
  <ScaleCrop>false</ScaleCrop>
  <Company/>
  <LinksUpToDate>false</LinksUpToDate>
  <CharactersWithSpaces>15273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waaweeyne shop</dc:creator>
  <cp:lastModifiedBy>Waaweene</cp:lastModifiedBy>
  <cp:revision>2</cp:revision>
  <dcterms:created xsi:type="dcterms:W3CDTF">2026-11-02T06:35:00Z</dcterms:created>
  <dcterms:modified xsi:type="dcterms:W3CDTF">2026-11-02T06:35:00Z</dcterms:modified>
</cp:coreProperties>
</file>